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bf0b39eff84739"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41c3fe0414e7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615602ffe3b4855">
              <w:r>
                <w:rPr>
                  <w:rStyle w:val="Hyperlink"/>
                  <w:b/>
                </w:rPr>
                <w:t xml:space="preserve">Household </w:t>
              </w:r>
            </w:hyperlink>
            <w:r>
              <w:rPr>
                <w:rStyle w:val="row-content-rich-text"/>
              </w:rPr>
              <w:t xml:space="preserve">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hyperlink w:history="true" r:id="R74d9fa776c2946a1">
              <w:r>
                <w:rPr>
                  <w:rStyle w:val="Hyperlink"/>
                </w:rPr>
                <w:t xml:space="preserve">Service provider organisation—household identifier, X[X(14)]</w:t>
              </w:r>
            </w:hyperlink>
          </w:p>
          <w:p>
            <w:pPr>
              <w:pStyle w:val="ListParagraph"/>
              <w:numPr>
                <w:ilvl w:val="0"/>
                <w:numId w:val="2"/>
              </w:numPr>
            </w:pPr>
            <w:r>
              <w:rPr>
                <w:rStyle w:val="row-content-rich-text"/>
              </w:rPr>
              <w:t xml:space="preserve">1 household per </w:t>
            </w:r>
            <w:hyperlink w:tooltip="The unit of accommodation (dwelling or part of a dwelling) to which a rental agreement can be made." w:history="true" r:id="R226abf79173746fe">
              <w:r>
                <w:rPr>
                  <w:rStyle w:val="Hyperlink"/>
                  <w:b/>
                </w:rPr>
                <w:t xml:space="preserve">tenancy rental unit</w:t>
              </w:r>
            </w:hyperlink>
          </w:p>
          <w:p>
            <w:pPr>
              <w:pStyle w:val="ListParagraph"/>
              <w:numPr>
                <w:ilvl w:val="0"/>
                <w:numId w:val="2"/>
              </w:numPr>
            </w:pPr>
            <w:r>
              <w:rPr>
                <w:rStyle w:val="row-content-rich-text"/>
              </w:rPr>
              <w:t xml:space="preserve">Households residing in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ce88890b89a54dc0">
              <w:r>
                <w:rPr>
                  <w:rStyle w:val="Hyperlink"/>
                  <w:b/>
                </w:rPr>
                <w:t xml:space="preserve">dwellings headleased from private market</w:t>
              </w:r>
            </w:hyperlink>
            <w:r>
              <w:rPr>
                <w:rStyle w:val="row-content-rich-text"/>
              </w:rPr>
              <w:t xml:space="preserve"> or </w:t>
            </w:r>
            <w:hyperlink w:tooltip="Dwellings owned by state and territory governments that are leased to other government or non-government organisations via head-leasing arrangements." w:history="true" r:id="Rbbbcdde0c5e34d87">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1a577e8e2bf4ee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978e45ab364be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a046c26324800">
              <w:r>
                <w:rPr>
                  <w:rStyle w:val="Hyperlink"/>
                </w:rPr>
                <w:t xml:space="preserve">Household (housing assistance) cluster</w:t>
              </w:r>
            </w:hyperlink>
          </w:p>
          <w:p>
            <w:pPr>
              <w:spacing w:before="0" w:after="0"/>
            </w:pPr>
            <w:r>
              <w:rPr>
                <w:rStyle w:val="row-content"/>
                <w:color w:val="244061"/>
              </w:rPr>
              <w:t xml:space="preserve">       </w:t>
            </w:r>
            <w:hyperlink w:history="true" r:id="R2c762b790a62471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9d5d8d1f64390">
              <w:r>
                <w:rPr>
                  <w:rStyle w:val="Hyperlink"/>
                </w:rPr>
                <w:t xml:space="preserve">Public rental housing DSS 2014-17</w:t>
              </w:r>
            </w:hyperlink>
          </w:p>
          <w:p>
            <w:pPr>
              <w:spacing w:before="0" w:after="0"/>
            </w:pPr>
            <w:r>
              <w:rPr>
                <w:rStyle w:val="row-content"/>
                <w:color w:val="244061"/>
              </w:rPr>
              <w:t xml:space="preserve">       </w:t>
            </w:r>
            <w:hyperlink w:history="true" r:id="R23344404fdd54e97">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2054ef2eeaaf47ff">
              <w:r>
                <w:rPr>
                  <w:rStyle w:val="Hyperlink"/>
                </w:rPr>
                <w:t xml:space="preserve">Public rental housing DSS 2017-18</w:t>
              </w:r>
            </w:hyperlink>
          </w:p>
          <w:p>
            <w:pPr>
              <w:spacing w:before="0" w:after="0"/>
            </w:pPr>
            <w:r>
              <w:rPr>
                <w:rStyle w:val="row-content"/>
                <w:color w:val="244061"/>
              </w:rPr>
              <w:t xml:space="preserve">       </w:t>
            </w:r>
            <w:hyperlink w:history="true" r:id="R10bf60ca643647a1">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405b47d714074075">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061be4d4167b4c7e">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ebcfa23c828646ff">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8575f54febbc4c03">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f6b5b7e83408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e4e90ad1f4f5b">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dd2b54970492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ca66fec704a93">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2c2f03d3145eb">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57f583e54438c">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3a9e5c0544f00">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a5a61b71840e9">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eee40225244d7">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aa5aa92b74566">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02a128bc04251">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6236583d34e5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ec262420b432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17f527e894e9c">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57b43c16d45f4">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ed8a4c1cb4637">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0e37ff0474c68">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8d2a2f96b49f7">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c5922c19d4a28">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b3f7ff5884a6b">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c004491df47c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c84d614e649e2">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ab70655a24cab">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1ee64a85646f0">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1e40fd4424808">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bfa1ec5034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d4c6f0358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fa1ec50344bb1" /><Relationship Type="http://schemas.openxmlformats.org/officeDocument/2006/relationships/header" Target="/word/header1.xml" Id="Rba906941696947cd" /><Relationship Type="http://schemas.openxmlformats.org/officeDocument/2006/relationships/settings" Target="/word/settings.xml" Id="R3db9f6b15c7a4644" /><Relationship Type="http://schemas.openxmlformats.org/officeDocument/2006/relationships/styles" Target="/word/styles.xml" Id="R0c9753007fdd48bf" /><Relationship Type="http://schemas.openxmlformats.org/officeDocument/2006/relationships/hyperlink" Target="https://meteor.aihw.gov.au/RegistrationAuthority/11" TargetMode="External" Id="Ref641c3fe0414e73" /><Relationship Type="http://schemas.openxmlformats.org/officeDocument/2006/relationships/hyperlink" Target="https://meteor.aihw.gov.au/content/465183" TargetMode="External" Id="Rd615602ffe3b4855" /><Relationship Type="http://schemas.openxmlformats.org/officeDocument/2006/relationships/numbering" Target="/word/numbering.xml" Id="R862fc9150927436a" /><Relationship Type="http://schemas.openxmlformats.org/officeDocument/2006/relationships/hyperlink" Target="https://meteor.aihw.gov.au/content/607886" TargetMode="External" Id="R74d9fa776c2946a1" /><Relationship Type="http://schemas.openxmlformats.org/officeDocument/2006/relationships/hyperlink" Target="https://meteor.aihw.gov.au/content/464221" TargetMode="External" Id="R226abf79173746fe" /><Relationship Type="http://schemas.openxmlformats.org/officeDocument/2006/relationships/hyperlink" Target="https://meteor.aihw.gov.au/content/639150" TargetMode="External" Id="Rce88890b89a54dc0" /><Relationship Type="http://schemas.openxmlformats.org/officeDocument/2006/relationships/hyperlink" Target="https://meteor.aihw.gov.au/content/327318" TargetMode="External" Id="Rbbbcdde0c5e34d87" /><Relationship Type="http://schemas.openxmlformats.org/officeDocument/2006/relationships/hyperlink" Target="https://meteor.aihw.gov.au/content/268977" TargetMode="External" Id="R71a577e8e2bf4ee8" /><Relationship Type="http://schemas.openxmlformats.org/officeDocument/2006/relationships/hyperlink" Target="https://meteor.aihw.gov.au/content/246013" TargetMode="External" Id="Rf5978e45ab364bec" /><Relationship Type="http://schemas.openxmlformats.org/officeDocument/2006/relationships/hyperlink" Target="https://meteor.aihw.gov.au/content/605255" TargetMode="External" Id="Rac9a046c26324800" /><Relationship Type="http://schemas.openxmlformats.org/officeDocument/2006/relationships/hyperlink" Target="https://meteor.aihw.gov.au/RegistrationAuthority/11" TargetMode="External" Id="R2c762b790a62471b" /><Relationship Type="http://schemas.openxmlformats.org/officeDocument/2006/relationships/hyperlink" Target="https://meteor.aihw.gov.au/content/635946" TargetMode="External" Id="R9179d5d8d1f64390" /><Relationship Type="http://schemas.openxmlformats.org/officeDocument/2006/relationships/hyperlink" Target="https://meteor.aihw.gov.au/RegistrationAuthority/11" TargetMode="External" Id="R23344404fdd54e97" /><Relationship Type="http://schemas.openxmlformats.org/officeDocument/2006/relationships/hyperlink" Target="https://meteor.aihw.gov.au/content/687107" TargetMode="External" Id="R2054ef2eeaaf47ff" /><Relationship Type="http://schemas.openxmlformats.org/officeDocument/2006/relationships/hyperlink" Target="https://meteor.aihw.gov.au/RegistrationAuthority/11" TargetMode="External" Id="R10bf60ca643647a1" /><Relationship Type="http://schemas.openxmlformats.org/officeDocument/2006/relationships/hyperlink" Target="https://meteor.aihw.gov.au/content/635961" TargetMode="External" Id="R405b47d714074075" /><Relationship Type="http://schemas.openxmlformats.org/officeDocument/2006/relationships/hyperlink" Target="https://meteor.aihw.gov.au/RegistrationAuthority/11" TargetMode="External" Id="R061be4d4167b4c7e" /><Relationship Type="http://schemas.openxmlformats.org/officeDocument/2006/relationships/hyperlink" Target="https://meteor.aihw.gov.au/content/687084" TargetMode="External" Id="Rebcfa23c828646ff" /><Relationship Type="http://schemas.openxmlformats.org/officeDocument/2006/relationships/hyperlink" Target="https://meteor.aihw.gov.au/RegistrationAuthority/11" TargetMode="External" Id="R8575f54febbc4c03" /><Relationship Type="http://schemas.openxmlformats.org/officeDocument/2006/relationships/hyperlink" Target="https://meteor.aihw.gov.au/content/662978" TargetMode="External" Id="R65cf6b5b7e834080" /><Relationship Type="http://schemas.openxmlformats.org/officeDocument/2006/relationships/hyperlink" Target="https://meteor.aihw.gov.au/content/663054" TargetMode="External" Id="R5c3e4e90ad1f4f5b" /><Relationship Type="http://schemas.openxmlformats.org/officeDocument/2006/relationships/hyperlink" Target="https://meteor.aihw.gov.au/content/663147" TargetMode="External" Id="R2d9dd2b549704920" /><Relationship Type="http://schemas.openxmlformats.org/officeDocument/2006/relationships/hyperlink" Target="https://meteor.aihw.gov.au/content/607872" TargetMode="External" Id="R911ca66fec704a93" /><Relationship Type="http://schemas.openxmlformats.org/officeDocument/2006/relationships/hyperlink" Target="https://meteor.aihw.gov.au/content/595877" TargetMode="External" Id="Rff32c2f03d3145eb" /><Relationship Type="http://schemas.openxmlformats.org/officeDocument/2006/relationships/hyperlink" Target="https://meteor.aihw.gov.au/content/608075" TargetMode="External" Id="Rf6757f583e54438c" /><Relationship Type="http://schemas.openxmlformats.org/officeDocument/2006/relationships/hyperlink" Target="https://meteor.aihw.gov.au/content/610107" TargetMode="External" Id="Rccc3a9e5c0544f00" /><Relationship Type="http://schemas.openxmlformats.org/officeDocument/2006/relationships/hyperlink" Target="https://meteor.aihw.gov.au/content/610156" TargetMode="External" Id="R8caa5a61b71840e9" /><Relationship Type="http://schemas.openxmlformats.org/officeDocument/2006/relationships/hyperlink" Target="https://meteor.aihw.gov.au/content/610149" TargetMode="External" Id="R508eee40225244d7" /><Relationship Type="http://schemas.openxmlformats.org/officeDocument/2006/relationships/hyperlink" Target="https://meteor.aihw.gov.au/content/607876" TargetMode="External" Id="R9f3aa5aa92b74566" /><Relationship Type="http://schemas.openxmlformats.org/officeDocument/2006/relationships/hyperlink" Target="https://meteor.aihw.gov.au/content/605815" TargetMode="External" Id="Rbad02a128bc04251" /><Relationship Type="http://schemas.openxmlformats.org/officeDocument/2006/relationships/hyperlink" Target="https://meteor.aihw.gov.au/content/608411" TargetMode="External" Id="R37c6236583d34e51" /><Relationship Type="http://schemas.openxmlformats.org/officeDocument/2006/relationships/hyperlink" Target="https://meteor.aihw.gov.au/content/607878" TargetMode="External" Id="Rbf0ec262420b432b" /><Relationship Type="http://schemas.openxmlformats.org/officeDocument/2006/relationships/hyperlink" Target="https://meteor.aihw.gov.au/content/607882" TargetMode="External" Id="Rad817f527e894e9c" /><Relationship Type="http://schemas.openxmlformats.org/officeDocument/2006/relationships/hyperlink" Target="https://meteor.aihw.gov.au/content/607888" TargetMode="External" Id="R83e57b43c16d45f4" /><Relationship Type="http://schemas.openxmlformats.org/officeDocument/2006/relationships/hyperlink" Target="https://meteor.aihw.gov.au/content/607890" TargetMode="External" Id="R193ed8a4c1cb4637" /><Relationship Type="http://schemas.openxmlformats.org/officeDocument/2006/relationships/hyperlink" Target="https://meteor.aihw.gov.au/content/607892" TargetMode="External" Id="R0e40e37ff0474c68" /><Relationship Type="http://schemas.openxmlformats.org/officeDocument/2006/relationships/hyperlink" Target="https://meteor.aihw.gov.au/content/608149" TargetMode="External" Id="R7328d2a2f96b49f7" /><Relationship Type="http://schemas.openxmlformats.org/officeDocument/2006/relationships/hyperlink" Target="https://meteor.aihw.gov.au/content/607896" TargetMode="External" Id="R812c5922c19d4a28" /><Relationship Type="http://schemas.openxmlformats.org/officeDocument/2006/relationships/hyperlink" Target="https://meteor.aihw.gov.au/content/607894" TargetMode="External" Id="R3edb3f7ff5884a6b" /><Relationship Type="http://schemas.openxmlformats.org/officeDocument/2006/relationships/hyperlink" Target="https://meteor.aihw.gov.au/content/498318" TargetMode="External" Id="R9c6c004491df47cb" /><Relationship Type="http://schemas.openxmlformats.org/officeDocument/2006/relationships/hyperlink" Target="https://meteor.aihw.gov.au/content/474692" TargetMode="External" Id="R85cc84d614e649e2" /><Relationship Type="http://schemas.openxmlformats.org/officeDocument/2006/relationships/hyperlink" Target="https://meteor.aihw.gov.au/content/662949" TargetMode="External" Id="R01bab70655a24cab" /><Relationship Type="http://schemas.openxmlformats.org/officeDocument/2006/relationships/hyperlink" Target="https://meteor.aihw.gov.au/content/607886" TargetMode="External" Id="R4451ee64a85646f0" /><Relationship Type="http://schemas.openxmlformats.org/officeDocument/2006/relationships/hyperlink" Target="https://meteor.aihw.gov.au/content/607898" TargetMode="External" Id="Rdf41e40fd4424808" /></Relationships>
</file>

<file path=word/_rels/header1.xml.rels>&#65279;<?xml version="1.0" encoding="utf-8"?><Relationships xmlns="http://schemas.openxmlformats.org/package/2006/relationships"><Relationship Type="http://schemas.openxmlformats.org/officeDocument/2006/relationships/image" Target="/media/image.png" Id="R574d4c6f03584c09" /></Relationships>
</file>