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0f3145192d4c5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 – 28 day mental health readmissions, 2018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 – 28 day mental health readmissions,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 Mental health readmissions to hospital,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93787f12d9445c">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in-scope overnight separations from the mental health service organisation’s acute psychiatric inpatient unit that are followed by readmission to the same or to another public sector acute psychiatric inpatient unit within 28 days of discharge.</w:t>
            </w:r>
          </w:p>
          <w:p>
            <w:pPr/>
            <w:r>
              <w:rPr>
                <w:rStyle w:val="row-content-rich-text"/>
                <w:b/>
              </w:rPr>
              <w:t xml:space="preserve">NOTE:</w:t>
            </w:r>
            <w:r>
              <w:rPr>
                <w:rStyle w:val="row-content-rich-text"/>
              </w:rPr>
              <w:t xml:space="preserve"> This indicator is related to </w:t>
            </w:r>
            <w:r>
              <w:rPr>
                <w:rStyle w:val="row-content-rich-text"/>
                <w:i/>
              </w:rPr>
              <w:t xml:space="preserve">Mental health readmissions to hospital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Readmissions to a psychiatric facility following a recent separation may indicate that inpatient treatment was incomplete or ineffective, or that follow-up care was inadequate to maintain the person’s treatment out of hospital. In this sense, rapid readmissions may point to deficiencies in the functioning of the overall care system.</w:t>
            </w:r>
          </w:p>
          <w:p>
            <w:pPr>
              <w:spacing w:after="160"/>
            </w:pPr>
            <w:r>
              <w:rPr>
                <w:rStyle w:val="row-content-rich-text"/>
              </w:rPr>
              <w:t xml:space="preserve">Avoidable rapid readmissions place pressure on finite beds and may reduce access to care for other consumers in need.</w:t>
            </w:r>
          </w:p>
          <w:p>
            <w:pPr/>
            <w:r>
              <w:rPr>
                <w:rStyle w:val="row-content-rich-text"/>
              </w:rPr>
              <w:t xml:space="preserve">International literature identifies one month as an appropriate defined time period for the measurement of unplanned readmissions following separation from an acute psychiatric inpatient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da7da68c8d4e5b">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9dce25abf5e346ce">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readmissions are excluded when calculating the </w:t>
            </w:r>
            <w:r>
              <w:rPr>
                <w:rStyle w:val="row-content-rich-text"/>
                <w:b/>
              </w:rPr>
              <w:t xml:space="preserve">numerator</w:t>
            </w:r>
            <w:r>
              <w:rPr>
                <w:rStyle w:val="row-content-rich-text"/>
              </w:rPr>
              <w:t xml:space="preserve">:</w:t>
            </w:r>
          </w:p>
          <w:p>
            <w:r>
              <w:br/>
            </w:r>
            <w:r>
              <w:br/>
            </w:r>
            <w:r>
              <w:br/>
            </w:r>
          </w:p>
          <w:p>
            <w:pPr>
              <w:pStyle w:val="ListParagraph"/>
              <w:numPr>
                <w:ilvl w:val="0"/>
                <w:numId w:val="2"/>
              </w:numPr>
            </w:pPr>
            <w:r>
              <w:rPr>
                <w:rStyle w:val="row-content-rich-text"/>
              </w:rPr>
              <w:t xml:space="preserve">same-day separations</w:t>
            </w:r>
          </w:p>
          <w:p>
            <w:pPr>
              <w:pStyle w:val="ListParagraph"/>
              <w:numPr>
                <w:ilvl w:val="0"/>
                <w:numId w:val="2"/>
              </w:numPr>
            </w:pPr>
            <w:r>
              <w:rPr>
                <w:rStyle w:val="row-content-rich-text"/>
              </w:rPr>
              <w:t xml:space="preserve">separations where the length of stay is one night only and a procedure code for Electroconvulsive therapy (ECT) is recorded.</w:t>
            </w:r>
          </w:p>
          <w:p>
            <w:pPr>
              <w:spacing w:after="160"/>
            </w:pPr>
            <w:r>
              <w:rPr>
                <w:rStyle w:val="row-content-rich-text"/>
              </w:rPr>
              <w:t xml:space="preserve">The following separations are excluded when calculating the </w:t>
            </w:r>
            <w:r>
              <w:rPr>
                <w:rStyle w:val="row-content-rich-text"/>
                <w:b/>
              </w:rPr>
              <w:t xml:space="preserve">denominator</w:t>
            </w:r>
            <w:r>
              <w:rPr>
                <w:rStyle w:val="row-content-rich-text"/>
              </w:rPr>
              <w:t xml:space="preserve">:</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separations where the length of stay is one night only and a procedure code for Electroconvulsive therapy (ECT) is recorded.</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in death or left against medical advice/discharge at own risk</w:t>
            </w:r>
          </w:p>
          <w:p>
            <w:pPr>
              <w:pStyle w:val="ListParagraph"/>
              <w:numPr>
                <w:ilvl w:val="0"/>
                <w:numId w:val="3"/>
              </w:numPr>
            </w:pPr>
            <w:r>
              <w:rPr>
                <w:rStyle w:val="row-content-rich-text"/>
              </w:rPr>
              <w:t xml:space="preserve">separations that end by transfer to another acute or psychiatric hospital.</w:t>
            </w:r>
          </w:p>
          <w:p>
            <w:pPr>
              <w:spacing w:after="160"/>
            </w:pPr>
            <w:r>
              <w:rPr>
                <w:rStyle w:val="row-content-rich-text"/>
              </w:rPr>
              <w:t xml:space="preserve">Methodology:</w:t>
            </w:r>
          </w:p>
          <w:p>
            <w:pPr>
              <w:pStyle w:val="ListParagraph"/>
              <w:numPr>
                <w:ilvl w:val="0"/>
                <w:numId w:val="4"/>
              </w:numPr>
            </w:pPr>
            <w:r>
              <w:rPr>
                <w:rStyle w:val="row-content-rich-text"/>
              </w:rPr>
              <w:t xml:space="preserve">Readmissions where the initial separation occurred within the reference period are in scope.</w:t>
            </w:r>
          </w:p>
          <w:p>
            <w:pPr>
              <w:pStyle w:val="ListParagraph"/>
              <w:numPr>
                <w:ilvl w:val="0"/>
                <w:numId w:val="4"/>
              </w:numPr>
            </w:pPr>
            <w:r>
              <w:rPr>
                <w:rStyle w:val="row-content-rich-text"/>
              </w:rPr>
              <w:t xml:space="preserve">Readmission is considered to have occurred if the person is admitted to any public acute psychiatric inpatient unit within the state/territory. Consequently, a state-wide unique patient identifier is required for accurate construction of this indicator.</w:t>
            </w:r>
          </w:p>
          <w:p>
            <w:pPr>
              <w:pStyle w:val="ListParagraph"/>
              <w:numPr>
                <w:ilvl w:val="0"/>
                <w:numId w:val="4"/>
              </w:numPr>
            </w:pPr>
            <w:r>
              <w:rPr>
                <w:rStyle w:val="row-content-rich-text"/>
              </w:rPr>
              <w:t xml:space="preserve">Readmissions where the person is separated and readmitted on the same day are included.</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4"/>
              </w:numPr>
            </w:pPr>
            <w:r>
              <w:rPr>
                <w:rStyle w:val="row-content-rich-text"/>
              </w:rPr>
              <w:t xml:space="preserve">The categorisation of the admitted patient unit is based on the principal purpose(s) of the admitted patient care program rather than the care type of individual consumers.</w:t>
            </w:r>
          </w:p>
          <w:p>
            <w:pPr>
              <w:pStyle w:val="ListParagraph"/>
              <w:numPr>
                <w:ilvl w:val="0"/>
                <w:numId w:val="4"/>
              </w:numPr>
            </w:pPr>
            <w:r>
              <w:rPr>
                <w:rStyle w:val="row-content-rich-text"/>
              </w:rPr>
              <w:t xml:space="preserve">The following ECT procedure codes are relevant for the excluded separations specified above:</w:t>
            </w:r>
            <w:r>
              <w:br/>
            </w:r>
            <w:r>
              <w:rPr>
                <w:rStyle w:val="row-content-rich-text"/>
              </w:rPr>
              <w:t xml:space="preserve">        • ACHI 5th edition (2006–2008) use procedure codes 93340-02 and 93340-03.</w:t>
            </w:r>
            <w:r>
              <w:br/>
            </w:r>
            <w:r>
              <w:rPr>
                <w:rStyle w:val="row-content-rich-text"/>
              </w:rPr>
              <w:t xml:space="preserve">        • ACHI 6th to 9th editions (2008 to 2015) use procedure codes 93341-00 to 93341-99.</w:t>
            </w:r>
            <w:r>
              <w:br/>
            </w:r>
            <w:r>
              <w:rPr>
                <w:rStyle w:val="row-content-rich-text"/>
              </w:rPr>
              <w:t xml:space="preserve">        • ACHI 10th (2015 to current) edition use procedure codes 14224-0 to 14224-06.</w:t>
            </w:r>
            <w:r>
              <w:br/>
            </w:r>
            <w:r>
              <w:rPr>
                <w:rStyle w:val="row-content-rich-text"/>
              </w:rPr>
              <w:t xml:space="preserve">        • ACHI 5th to 10th editions (2006 to current) Electroconvulsive therapy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admitted patient mental health care service unit(s) occurring within the reference period, that are followed by a readmission to the same or another acute psychiatric inpatient unit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diagnosis, age, Socio-Economic Indexes for Areas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56ec258574144dd">
              <w:r>
                <w:rPr>
                  <w:rStyle w:val="Hyperlink"/>
                </w:rPr>
                <w:t xml:space="preserve">Effective</w:t>
              </w:r>
            </w:hyperlink>
            <w:r>
              <w:br/>
            </w:r>
            <w:r>
              <w:br/>
            </w:r>
          </w:p>
          <w:p>
            <w:hyperlink w:history="true" r:id="Rb2fb109e938347f0">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5"/>
              </w:numPr>
            </w:pPr>
            <w:r>
              <w:rPr>
                <w:rStyle w:val="row-content-rich-text"/>
              </w:rPr>
              <w:t xml:space="preserve">service unit</w:t>
            </w:r>
          </w:p>
          <w:p>
            <w:pPr>
              <w:pStyle w:val="ListParagraph"/>
              <w:numPr>
                <w:ilvl w:val="0"/>
                <w:numId w:val="5"/>
              </w:numPr>
            </w:pPr>
            <w:r>
              <w:rPr>
                <w:rStyle w:val="row-content-rich-text"/>
              </w:rPr>
              <w:t xml:space="preserve">mental health service organisation</w:t>
            </w:r>
          </w:p>
          <w:p>
            <w:pPr>
              <w:pStyle w:val="ListParagraph"/>
              <w:numPr>
                <w:ilvl w:val="0"/>
                <w:numId w:val="5"/>
              </w:numPr>
            </w:pPr>
            <w:r>
              <w:rPr>
                <w:rStyle w:val="row-content-rich-text"/>
              </w:rPr>
              <w:t xml:space="preserve">regional group of services</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NMDS. While the data set comprehensively provides a collection of separations from Australian public hospitals; its inability to uniquely identify a patient across episodes and across hospitals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data limitations this indicator cannot differentiate between planned and unplanned readmissions.</w:t>
            </w:r>
          </w:p>
          <w:p>
            <w:pPr/>
            <w:r>
              <w:rPr>
                <w:rStyle w:val="row-content-rich-text"/>
              </w:rPr>
              <w:t xml:space="preserve">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c7e3a3f2fb4ff8">
              <w:r>
                <w:rPr>
                  <w:rStyle w:val="Hyperlink"/>
                </w:rPr>
                <w:t xml:space="preserve">KPIs for Australian Public Mental Health Services: PI 02 – 28 day readmission rate, 2015–2017</w:t>
              </w:r>
            </w:hyperlink>
          </w:p>
          <w:p>
            <w:pPr>
              <w:spacing w:before="0" w:after="0"/>
            </w:pPr>
            <w:r>
              <w:rPr>
                <w:rStyle w:val="row-content"/>
                <w:color w:val="244061"/>
              </w:rPr>
              <w:t xml:space="preserve">       </w:t>
            </w:r>
            <w:hyperlink w:history="true" r:id="R3b3a0bed2f0c40c6">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b033a957c8b046f3">
              <w:r>
                <w:rPr>
                  <w:rStyle w:val="Hyperlink"/>
                </w:rPr>
                <w:t xml:space="preserve">KPIs for Australian Public Mental Health Services: PI 02 – Mental health readmissions to hospital, 2019 (Service level)</w:t>
              </w:r>
            </w:hyperlink>
          </w:p>
          <w:p>
            <w:pPr>
              <w:spacing w:before="0" w:after="0"/>
            </w:pPr>
            <w:r>
              <w:rPr>
                <w:rStyle w:val="row-content"/>
                <w:color w:val="244061"/>
              </w:rPr>
              <w:t xml:space="preserve">       </w:t>
            </w:r>
            <w:hyperlink w:history="true" r:id="Rc6275eeeabfe4f45">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6102ce37961d4c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633017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12edbd319048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02ce37961d4c13" /><Relationship Type="http://schemas.openxmlformats.org/officeDocument/2006/relationships/header" Target="/word/header1.xml" Id="R4fbbc551c28b4d4b" /><Relationship Type="http://schemas.openxmlformats.org/officeDocument/2006/relationships/settings" Target="/word/settings.xml" Id="Rcf49c909b84c4f90" /><Relationship Type="http://schemas.openxmlformats.org/officeDocument/2006/relationships/styles" Target="/word/styles.xml" Id="R97131db9d966404a" /><Relationship Type="http://schemas.openxmlformats.org/officeDocument/2006/relationships/hyperlink" Target="https://meteor.aihw.gov.au/RegistrationAuthority/12" TargetMode="External" Id="R4693787f12d9445c" /><Relationship Type="http://schemas.openxmlformats.org/officeDocument/2006/relationships/hyperlink" Target="https://meteor.aihw.gov.au/content/693108" TargetMode="External" Id="Rf4da7da68c8d4e5b" /><Relationship Type="http://schemas.openxmlformats.org/officeDocument/2006/relationships/hyperlink" Target="https://meteor.aihw.gov.au/RegistrationAuthority/12" TargetMode="External" Id="R9dce25abf5e346ce" /><Relationship Type="http://schemas.openxmlformats.org/officeDocument/2006/relationships/numbering" Target="/word/numbering.xml" Id="R4ba0e2704e6f4fc4" /><Relationship Type="http://schemas.openxmlformats.org/officeDocument/2006/relationships/hyperlink" Target="https://meteor.aihw.gov.au/content/584872" TargetMode="External" Id="Re56ec258574144dd" /><Relationship Type="http://schemas.openxmlformats.org/officeDocument/2006/relationships/hyperlink" Target="https://meteor.aihw.gov.au/content/584864" TargetMode="External" Id="Rb2fb109e938347f0" /><Relationship Type="http://schemas.openxmlformats.org/officeDocument/2006/relationships/hyperlink" Target="https://meteor.aihw.gov.au/content/584044" TargetMode="External" Id="Ra9c7e3a3f2fb4ff8" /><Relationship Type="http://schemas.openxmlformats.org/officeDocument/2006/relationships/hyperlink" Target="https://meteor.aihw.gov.au/RegistrationAuthority/12" TargetMode="External" Id="R3b3a0bed2f0c40c6" /><Relationship Type="http://schemas.openxmlformats.org/officeDocument/2006/relationships/hyperlink" Target="https://meteor.aihw.gov.au/content/712092" TargetMode="External" Id="Rb033a957c8b046f3" /><Relationship Type="http://schemas.openxmlformats.org/officeDocument/2006/relationships/hyperlink" Target="https://meteor.aihw.gov.au/RegistrationAuthority/12" TargetMode="External" Id="Rc6275eeeabfe4f45" /></Relationships>
</file>

<file path=word/_rels/header1.xml.rels>&#65279;<?xml version="1.0" encoding="utf-8"?><Relationships xmlns="http://schemas.openxmlformats.org/package/2006/relationships"><Relationship Type="http://schemas.openxmlformats.org/officeDocument/2006/relationships/image" Target="/media/image.png" Id="R2412edbd3190489c" /></Relationships>
</file>