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c54c173e9248d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7b5611eda2470e">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hyperlink w:history="true" r:id="R4bbd604c28f84a29">
              <w:r>
                <w:rPr>
                  <w:rStyle w:val="Hyperlink"/>
                  <w:i/>
                </w:rPr>
                <w:t xml:space="preserve">Census and Statistics Act 1905</w:t>
              </w:r>
            </w:hyperlink>
            <w:r>
              <w:rPr>
                <w:rStyle w:val="row-content-rich-text"/>
              </w:rPr>
              <w:t xml:space="preserve">and the </w:t>
            </w:r>
            <w:hyperlink w:history="true" r:id="Raab05d3463e14a75">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5ac294868fea4e58">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p>
          <w:p>
            <w:pPr>
              <w:spacing w:after="160"/>
            </w:pPr>
            <w:r>
              <w:rPr>
                <w:rStyle w:val="row-content-rich-text"/>
              </w:rPr>
              <w:t xml:space="preserve">Data compiler(s): data are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w:t>
            </w:r>
          </w:p>
          <w:p>
            <w:pPr>
              <w:spacing w:after="160"/>
            </w:pPr>
            <w:r>
              <w:rPr>
                <w:rStyle w:val="row-content-rich-text"/>
              </w:rPr>
              <w:t xml:space="preserve">Data available: the 2015–16 data used for this indicator became available from 15 November 2016.</w:t>
            </w:r>
          </w:p>
          <w:p>
            <w:pPr>
              <w:spacing w:after="160"/>
            </w:pPr>
            <w:r>
              <w:rPr>
                <w:rStyle w:val="row-content-rich-text"/>
              </w:rPr>
              <w:t xml:space="preserve">Reference period: July 2015 to June 2016.</w:t>
            </w:r>
          </w:p>
          <w:p>
            <w:pPr/>
            <w:r>
              <w:rPr>
                <w:rStyle w:val="row-content-rich-text"/>
              </w:rPr>
              <w:t xml:space="preserve">There are not likely to be revisions to this data after their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Tables showing patients experiences with health professionals are available in </w:t>
            </w:r>
            <w:hyperlink w:history="true" r:id="Rfec0b1469f634c4c">
              <w:r>
                <w:rPr>
                  <w:rStyle w:val="Hyperlink"/>
                  <w:i/>
                </w:rPr>
                <w:t xml:space="preserve">Health services: patient experiences in Australia, 2009</w:t>
              </w:r>
            </w:hyperlink>
            <w:r>
              <w:rPr>
                <w:rStyle w:val="row-content-rich-text"/>
              </w:rPr>
              <w:t xml:space="preserve"> (ABS 2010), </w:t>
            </w:r>
            <w:hyperlink w:history="true" r:id="Rc9990476b9a540b1">
              <w:r>
                <w:rPr>
                  <w:rStyle w:val="Hyperlink"/>
                  <w:i/>
                </w:rPr>
                <w:t xml:space="preserve">Patient experiences in Australia: summary of findings </w:t>
              </w:r>
              <w:r>
                <w:rPr>
                  <w:rStyle w:val="row-content-rich-text"/>
                </w:rPr>
                <w:t xml:space="preserve">reports from 2010–11 to 2015–16</w:t>
              </w:r>
            </w:hyperlink>
            <w:r>
              <w:rPr>
                <w:rStyle w:val="row-content-rich-text"/>
              </w:rPr>
              <w:t xml:space="preserve"> (ABS 2011, 2012, 2013a, 2014, 2015, 2016).</w:t>
            </w:r>
          </w:p>
          <w:p>
            <w:pPr>
              <w:spacing w:after="160"/>
            </w:pPr>
            <w:r>
              <w:rPr>
                <w:rStyle w:val="row-content-rich-text"/>
              </w:rPr>
              <w:t xml:space="preserve">The data are shown by age, sex, remoteness and Socio-Economic Indexes for Areas (SEIFA). Jurisdictional data are not currently publicly available but may be made available in the future.</w:t>
            </w:r>
          </w:p>
          <w:p>
            <w:pPr>
              <w:spacing w:after="160"/>
            </w:pPr>
            <w:r>
              <w:rPr>
                <w:rStyle w:val="row-content-rich-text"/>
              </w:rPr>
              <w:t xml:space="preserve">Data are not available prior to public access.</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 The data were collected over a 12-month period and therefore should minimise seasonality effects in the data.</w:t>
            </w:r>
          </w:p>
          <w:p>
            <w:pPr>
              <w:spacing w:after="160"/>
            </w:pPr>
            <w:r>
              <w:rPr>
                <w:rStyle w:val="row-content-rich-text"/>
              </w:rPr>
              <w:t xml:space="preserve">Other supporting information: the ABS patient experience data are published in </w:t>
            </w:r>
            <w:r>
              <w:rPr>
                <w:rStyle w:val="row-content-rich-text"/>
                <w:i/>
              </w:rPr>
              <w:t xml:space="preserve">Patient experiences in Australia: summary of findings, 2015–16 </w:t>
            </w:r>
            <w:r>
              <w:rPr>
                <w:rStyle w:val="row-content-rich-text"/>
              </w:rPr>
              <w:t xml:space="preserve">(ABS 2016). This publication includes explanatory and technical notes.</w:t>
            </w:r>
          </w:p>
          <w:p>
            <w:pPr>
              <w:spacing w:after="160"/>
            </w:pP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IRSD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10% of CDs, decile 2 contains the next 10% of CDs and so on. Further information on SEIFA can be found in the ABS technical paper</w:t>
            </w:r>
            <w:hyperlink w:history="true" r:id="Rbe1553485be849c4">
              <w:r>
                <w:rPr>
                  <w:rStyle w:val="Hyperlink"/>
                  <w:i/>
                </w:rPr>
                <w:t xml:space="preserve">Socio-economic indexes for areas 2011</w:t>
              </w:r>
            </w:hyperlink>
            <w:r>
              <w:rPr>
                <w:rStyle w:val="row-content-rich-text"/>
              </w:rPr>
              <w:t xml:space="preserve"> (ABS 2013b).</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2015–16</w:t>
            </w:r>
            <w:r>
              <w:rPr>
                <w:rStyle w:val="row-content-rich-text"/>
              </w:rPr>
              <w:t xml:space="preserve"> (ABS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sex, 2011 SEIFA IRSD and 2011 remoteness (</w:t>
            </w:r>
            <w:r>
              <w:rPr>
                <w:rStyle w:val="row-content-rich-text"/>
                <w:i/>
              </w:rPr>
              <w:t xml:space="preserve">Major cities, Inner </w:t>
            </w:r>
            <w:r>
              <w:rPr>
                <w:rStyle w:val="row-content-rich-text"/>
              </w:rPr>
              <w:t xml:space="preserve">and </w:t>
            </w:r>
            <w:r>
              <w:rPr>
                <w:rStyle w:val="row-content-rich-text"/>
                <w:i/>
              </w:rPr>
              <w:t xml:space="preserve">Outer regional, Remote </w:t>
            </w:r>
            <w:r>
              <w:rPr>
                <w:rStyle w:val="row-content-rich-text"/>
              </w:rPr>
              <w:t xml:space="preserve">and </w:t>
            </w:r>
            <w:r>
              <w:rPr>
                <w:rStyle w:val="row-content-rich-text"/>
                <w:i/>
              </w:rPr>
              <w:t xml:space="preserve">Very remote </w:t>
            </w:r>
            <w:r>
              <w:rPr>
                <w:rStyle w:val="row-content-rich-text"/>
              </w:rPr>
              <w:t xml:space="preserve">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The 2011–12 iteration of the Patient Experience Survey was the first to include households in </w:t>
            </w:r>
            <w:r>
              <w:rPr>
                <w:rStyle w:val="row-content-rich-text"/>
                <w:i/>
              </w:rPr>
              <w:t xml:space="preserve">Very remote </w:t>
            </w:r>
            <w:r>
              <w:rPr>
                <w:rStyle w:val="row-content-rich-text"/>
              </w:rPr>
              <w:t xml:space="preserve">areas, (although it still excluded discrete Indigenous communities). The 2015–16 iteration continues to include data from </w:t>
            </w:r>
            <w:r>
              <w:rPr>
                <w:rStyle w:val="row-content-rich-text"/>
                <w:i/>
              </w:rPr>
              <w:t xml:space="preserve">Very remote </w:t>
            </w:r>
            <w:r>
              <w:rPr>
                <w:rStyle w:val="row-content-rich-text"/>
              </w:rPr>
              <w:t xml:space="preserve">areas. The inclusion of </w:t>
            </w:r>
            <w:r>
              <w:rPr>
                <w:rStyle w:val="row-content-rich-text"/>
                <w:i/>
              </w:rPr>
              <w:t xml:space="preserve">Very remote </w:t>
            </w:r>
            <w:r>
              <w:rPr>
                <w:rStyle w:val="row-content-rich-text"/>
              </w:rPr>
              <w:t xml:space="preserve">areas will serve to improve the coverage of the estimates, particularly for the Northern Territory. Small differences evident in the Northern Territory estimates between 2010–11 and 2011–12 may in part be due to the inclusion of households in </w:t>
            </w:r>
            <w:r>
              <w:rPr>
                <w:rStyle w:val="row-content-rich-text"/>
                <w:i/>
              </w:rPr>
              <w:t xml:space="preserve">Very remote </w:t>
            </w:r>
            <w:r>
              <w:rPr>
                <w:rStyle w:val="row-content-rich-text"/>
              </w:rPr>
              <w:t xml:space="preserve">areas.</w:t>
            </w:r>
          </w:p>
          <w:p>
            <w:pPr/>
            <w:r>
              <w:rPr>
                <w:rStyle w:val="row-content-rich-text"/>
              </w:rPr>
              <w:t xml:space="preserve">Data was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by computer assisted telephone interview.</w:t>
            </w:r>
          </w:p>
          <w:p>
            <w:pPr>
              <w:spacing w:after="160"/>
            </w:pPr>
            <w:r>
              <w:rPr>
                <w:rStyle w:val="row-content-rich-text"/>
              </w:rPr>
              <w:t xml:space="preserve">Data adjustments: data were weighted to represent the total in scope Australian population, and were adjusted to account for confidentiality and non-response.</w:t>
            </w:r>
          </w:p>
          <w:p>
            <w:pPr>
              <w:spacing w:after="160"/>
            </w:pPr>
            <w:r>
              <w:rPr>
                <w:rStyle w:val="row-content-rich-text"/>
              </w:rPr>
              <w:t xml:space="preserve">Sample/collection size: the sample for the 2015–16 Patient Experience Survey was 28,276 fully-responding persons.</w:t>
            </w:r>
          </w:p>
          <w:p>
            <w:pPr>
              <w:spacing w:after="160"/>
            </w:pPr>
            <w:r>
              <w:rPr>
                <w:rStyle w:val="row-content-rich-text"/>
              </w:rPr>
              <w:t xml:space="preserve">Response rate: response rate for the survey was 75%.</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an RSE between 25% and 50% should be used with caution, and estimates with an RSE over 50% are considered too unreliable for general use.</w:t>
            </w:r>
          </w:p>
          <w:p>
            <w:pPr>
              <w:spacing w:after="160"/>
            </w:pPr>
            <w:r>
              <w:rPr>
                <w:rStyle w:val="row-content-rich-text"/>
              </w:rPr>
              <w:t xml:space="preserve">This indicator generally has acceptable levels of sampling error and provides reliable data for most breakdowns. However, for a small number of estimates, RSEs for the 'other' remoteness category are greater than 25% and should be used with caution.</w:t>
            </w:r>
          </w:p>
          <w:p>
            <w:pPr>
              <w:spacing w:after="160"/>
            </w:pPr>
            <w:r>
              <w:rPr>
                <w:rStyle w:val="row-content-rich-text"/>
              </w:rPr>
              <w:t xml:space="preserve">The data are self-reported but not attitudinal, as respondents are reporting their experiences of using the health system (in these instances, whether the respondent delayed or did not see a GP or the time when they delayed or did not get their prescription filled because of cost).</w:t>
            </w:r>
          </w:p>
          <w:p>
            <w:pPr>
              <w:spacing w:after="160"/>
            </w:pPr>
            <w:r>
              <w:rPr>
                <w:rStyle w:val="row-content-rich-text"/>
              </w:rPr>
              <w:t xml:space="preserve">Explanatory footnotes are provided for each table.</w:t>
            </w:r>
          </w:p>
          <w:p>
            <w:pPr>
              <w:spacing w:after="160"/>
            </w:pPr>
            <w:r>
              <w:rPr>
                <w:rStyle w:val="row-content-rich-text"/>
              </w:rPr>
              <w:t xml:space="preserve">Confidentiality: as in 2014–15 and 2013–14, the 2015–16 data have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r>
              <w:rPr>
                <w:rStyle w:val="row-content-rich-text"/>
              </w:rPr>
              <w:t xml:space="preserve">After perturbation, a given published cell value will be consistent across all tables. However, adding up cell values to derive a total will not necessarily give the same result as published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were collected for this indicator. Questions relating to this indicator were also asked in 2010–11, 2011–12, 2012–13, 2013–14, 2014–15 and 2015–16.</w:t>
            </w:r>
          </w:p>
          <w:p>
            <w:pPr>
              <w:spacing w:after="160"/>
            </w:pPr>
            <w:r>
              <w:rPr>
                <w:rStyle w:val="row-content-rich-text"/>
              </w:rPr>
              <w:t xml:space="preserve">Time series issues with this indicator are outlined below.</w:t>
            </w:r>
          </w:p>
          <w:p>
            <w:pPr>
              <w:spacing w:after="160"/>
            </w:pPr>
            <w:r>
              <w:rPr>
                <w:rStyle w:val="row-content-rich-text"/>
                <w:b/>
              </w:rPr>
              <w:t xml:space="preserve">Delayed or did not see GP due to cost:</w:t>
            </w:r>
            <w:r>
              <w:rPr>
                <w:rStyle w:val="row-content-rich-text"/>
              </w:rPr>
              <w:t xml:space="preserve"> 2015–16 is comparable to 2014–15, 2013–14 and 2012–13, but not before this (that is, not comparable to 2011–12, 2010–11 or 2009). While the question wording itself did not change, the position in the survey (that is, where the question was asked) did change. There has been a noticeable context effect with this change in question ordering. As a result, ABS recommends that this data item is not comparable over time. This has been footnoted in the relevant tables.</w:t>
            </w:r>
          </w:p>
          <w:p>
            <w:pPr>
              <w:spacing w:after="160"/>
            </w:pPr>
            <w:r>
              <w:rPr>
                <w:rStyle w:val="row-content-rich-text"/>
                <w:b/>
              </w:rPr>
              <w:t xml:space="preserve">Delayed or did not get prescription filled due to cost:</w:t>
            </w:r>
            <w:r>
              <w:rPr>
                <w:rStyle w:val="row-content-rich-text"/>
              </w:rPr>
              <w:t xml:space="preserve"> 2015–16 is comparable to 2014–15, 2013–14, 2012–13, 2011–12 and 2010–11, but not before this (that is, not comparable to 2009). This is due to changes in question wording/sequencing in the patient experience survey. As a result, a time series can be started from 2010–11 onwards.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Northern Territory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Health services: patient experiences in Australia, 2009. ABS cat.no. 4839.0.55.001. Viewed 21 June 2017, </w:t>
            </w:r>
            <w:hyperlink w:history="true" r:id="R38efb7b46b30438b">
              <w:r>
                <w:rPr>
                  <w:rStyle w:val="Hyperlink"/>
                </w:rPr>
                <w:t xml:space="preserve">http://www.abs.gov.au/AUSSTATS/abs@.nsf/DetailsPage/4839.0.55.0012009</w:t>
              </w:r>
            </w:hyperlink>
          </w:p>
          <w:p>
            <w:pPr>
              <w:spacing w:after="160"/>
            </w:pPr>
            <w:r>
              <w:rPr>
                <w:rStyle w:val="row-content-rich-text"/>
              </w:rPr>
              <w:t xml:space="preserve">ABS 2011. Patient experiences in Australia: summary of findings 2010–11. ABS cat. no. 4839.0. Viewed 21 June 2017, </w:t>
            </w:r>
            <w:hyperlink w:history="true" r:id="R575777842ded410c">
              <w:r>
                <w:rPr>
                  <w:rStyle w:val="Hyperlink"/>
                </w:rPr>
                <w:t xml:space="preserve">http://www.abs.gov.au/AUSSTATS/abs@.nsf/allprimarymainfeatures/</w:t>
              </w:r>
              <w:r>
                <w:br/>
              </w:r>
              <w:r>
                <w:rPr>
                  <w:rStyle w:val="row-content-rich-text"/>
                </w:rPr>
                <w:t xml:space="preserve">9606ED9BB0A8D82FCA257ABE0012F144?opendocument</w:t>
              </w:r>
            </w:hyperlink>
          </w:p>
          <w:p>
            <w:pPr>
              <w:spacing w:after="160"/>
            </w:pPr>
            <w:r>
              <w:rPr>
                <w:rStyle w:val="row-content-rich-text"/>
              </w:rPr>
              <w:t xml:space="preserve">ABS 2012. Patient experiences in Australia: summary of findings 2011–12. ABS cat. no. 4839.0. Viewed 21 June 2017, </w:t>
            </w:r>
            <w:hyperlink w:history="true" r:id="R83a7e5bf54364e91">
              <w:r>
                <w:rPr>
                  <w:rStyle w:val="Hyperlink"/>
                </w:rPr>
                <w:t xml:space="preserve">http://www.abs.gov.au/AUSSTATS/abs@.nsf/allprimarymainfeatures/</w:t>
              </w:r>
              <w:r>
                <w:br/>
              </w:r>
              <w:r>
                <w:rPr>
                  <w:rStyle w:val="row-content-rich-text"/>
                </w:rPr>
                <w:t xml:space="preserve">EF9A58BF23BD5957CA257C29000FFAA8?opendocument</w:t>
              </w:r>
            </w:hyperlink>
          </w:p>
          <w:p>
            <w:pPr>
              <w:spacing w:after="160"/>
            </w:pPr>
            <w:r>
              <w:rPr>
                <w:rStyle w:val="row-content-rich-text"/>
              </w:rPr>
              <w:t xml:space="preserve">ABS 2013a. Patient experiences in Australia: summary of findings 2012–13. ABS cat. no. 4839.0. Viewed 21 June 2017, </w:t>
            </w:r>
            <w:hyperlink w:history="true" r:id="R3abb3f1dfdad490c">
              <w:r>
                <w:rPr>
                  <w:rStyle w:val="Hyperlink"/>
                </w:rPr>
                <w:t xml:space="preserve">http://www.abs.gov.au/AUSSTATS/abs@.nsf/allprimarymainfeatures/</w:t>
              </w:r>
              <w:r>
                <w:br/>
              </w:r>
              <w:r>
                <w:rPr>
                  <w:rStyle w:val="row-content-rich-text"/>
                </w:rPr>
                <w:t xml:space="preserve">FACB879D128C03A6CA257D9D000C1D57?opendocument</w:t>
              </w:r>
            </w:hyperlink>
          </w:p>
          <w:p>
            <w:pPr>
              <w:spacing w:after="160"/>
            </w:pPr>
            <w:r>
              <w:rPr>
                <w:rStyle w:val="row-content-rich-text"/>
              </w:rPr>
              <w:t xml:space="preserve">ABS 2013b. Census of population and housing: socio-economic indexes for areas (SEIFA), Australia, 2011. ABS cat. no. 2033.0.55.001. Viewed 21 June 2017, </w:t>
            </w:r>
            <w:hyperlink w:history="true" r:id="Ra6214257b08a4a0b">
              <w:r>
                <w:rPr>
                  <w:rStyle w:val="Hyperlink"/>
                </w:rPr>
                <w:t xml:space="preserve">http://www.abs.gov.au/AUSSTATS/abs@.nsf/Lookup/2033.0.55.001Main+</w:t>
              </w:r>
              <w:r>
                <w:br/>
              </w:r>
              <w:r>
                <w:rPr>
                  <w:rStyle w:val="row-content-rich-text"/>
                </w:rPr>
                <w:t xml:space="preserve">Features12011?OpenDocument</w:t>
              </w:r>
            </w:hyperlink>
          </w:p>
          <w:p>
            <w:pPr>
              <w:spacing w:after="160"/>
            </w:pPr>
            <w:r>
              <w:rPr>
                <w:rStyle w:val="row-content-rich-text"/>
              </w:rPr>
              <w:t xml:space="preserve">ABS 2014. Patient experiences in Australia: summary of findings 2013–14. ABS cat. no. 4839.0. Viewed 21 June 2017, </w:t>
            </w:r>
            <w:hyperlink w:history="true" r:id="Rb325fc47f8344b17">
              <w:r>
                <w:rPr>
                  <w:rStyle w:val="Hyperlink"/>
                </w:rPr>
                <w:t xml:space="preserve">http://www.abs.gov.au/AUSSTATS/abs@.nsf/allprimarymainfeatures/</w:t>
              </w:r>
              <w:r>
                <w:br/>
              </w:r>
              <w:r>
                <w:rPr>
                  <w:rStyle w:val="row-content-rich-text"/>
                </w:rPr>
                <w:t xml:space="preserve">7B1190A3CC5DF0EACA257EFB00114069?opendocument</w:t>
              </w:r>
            </w:hyperlink>
          </w:p>
          <w:p>
            <w:pPr>
              <w:spacing w:after="160"/>
            </w:pPr>
            <w:r>
              <w:rPr>
                <w:rStyle w:val="row-content-rich-text"/>
              </w:rPr>
              <w:t xml:space="preserve">ABS 2015. Patient experiences in Australia: summary of findings 2014–15. ABS cat. no. 4839.0. Viewed 21 June 2017, </w:t>
            </w:r>
            <w:hyperlink w:history="true" r:id="R9f97ddcacda74332">
              <w:r>
                <w:rPr>
                  <w:rStyle w:val="Hyperlink"/>
                </w:rPr>
                <w:t xml:space="preserve">http://www.abs.gov.au/AUSSTATS/abs@.nsf/allprimarymainfeatures/</w:t>
              </w:r>
              <w:r>
                <w:br/>
              </w:r>
              <w:r>
                <w:rPr>
                  <w:rStyle w:val="row-content-rich-text"/>
                </w:rPr>
                <w:t xml:space="preserve">FC8EFE56746DD682CA25806B000F5EE3?opendocument</w:t>
              </w:r>
            </w:hyperlink>
          </w:p>
          <w:p>
            <w:pPr/>
            <w:r>
              <w:rPr>
                <w:rStyle w:val="row-content-rich-text"/>
              </w:rPr>
              <w:t xml:space="preserve">ABS 2016. Patient experiences in Australia: summary of findings 2015–16. ABS cat. no. 4839.0. Viewed 21 June 2017, </w:t>
            </w:r>
            <w:hyperlink w:history="true" r:id="R14e9af1f45f94243">
              <w:r>
                <w:rPr>
                  <w:rStyle w:val="Hyperlink"/>
                </w:rPr>
                <w:t xml:space="preserve"> </w:t>
              </w:r>
            </w:hyperlink>
            <w:hyperlink w:history="true" r:id="R490633221f9448c4">
              <w:r>
                <w:rPr>
                  <w:rStyle w:val="Hyperlink"/>
                </w:rPr>
                <w:t xml:space="preserve">http://www.abs.gov.au/AUSSTATS/abs@.nsf/Lookup/4839.0Main+</w:t>
              </w:r>
              <w:r>
                <w:br/>
              </w:r>
              <w:r>
                <w:rPr>
                  <w:rStyle w:val="row-content-rich-text"/>
                </w:rPr>
                <w:t xml:space="preserve">Features12015-16?OpenDocument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5abbb8a7cc46d5">
              <w:r>
                <w:rPr>
                  <w:rStyle w:val="Hyperlink"/>
                </w:rPr>
                <w:t xml:space="preserve">National Healthcare Agreement: PI 14-People deferring access to selected healthcare due to financial barriers, 2016 QS</w:t>
              </w:r>
            </w:hyperlink>
          </w:p>
          <w:p>
            <w:pPr>
              <w:spacing w:before="0" w:after="0"/>
            </w:pPr>
            <w:r>
              <w:rPr>
                <w:rStyle w:val="row-content"/>
                <w:color w:val="244061"/>
              </w:rPr>
              <w:t xml:space="preserve">       </w:t>
            </w:r>
            <w:hyperlink w:history="true" r:id="R7079be3990264169">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653c12db29494f05">
              <w:r>
                <w:rPr>
                  <w:rStyle w:val="Hyperlink"/>
                </w:rPr>
                <w:t xml:space="preserve">National Healthcare Agreement: PI 14-People deferring access to selected healthcare due to financial barriers, 2018 QS</w:t>
              </w:r>
            </w:hyperlink>
          </w:p>
          <w:p>
            <w:pPr>
              <w:spacing w:before="0" w:after="0"/>
            </w:pPr>
            <w:r>
              <w:rPr>
                <w:rStyle w:val="row-content"/>
                <w:color w:val="244061"/>
              </w:rPr>
              <w:t xml:space="preserve">       </w:t>
            </w:r>
            <w:hyperlink w:history="true" r:id="R0ad54a9a25d740c6">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50a07b1028840cb">
              <w:r>
                <w:rPr>
                  <w:rStyle w:val="Hyperlink"/>
                </w:rPr>
                <w:t xml:space="preserve">National Healthcare Agreement: PI 14–People deferring access to selected healthcare due to financial barriers, 2017</w:t>
              </w:r>
            </w:hyperlink>
          </w:p>
          <w:p>
            <w:pPr>
              <w:spacing w:before="0" w:after="0"/>
            </w:pPr>
            <w:r>
              <w:rPr>
                <w:rStyle w:val="row-content"/>
                <w:color w:val="244061"/>
              </w:rPr>
              <w:t xml:space="preserve">       </w:t>
            </w:r>
            <w:hyperlink w:history="true" r:id="R6b50c198c4604060">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78ccbdbe2faf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630429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e48eff082840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cbdbe2faf4875" /><Relationship Type="http://schemas.openxmlformats.org/officeDocument/2006/relationships/header" Target="/word/header1.xml" Id="Rb502ea11eab644cb" /><Relationship Type="http://schemas.openxmlformats.org/officeDocument/2006/relationships/settings" Target="/word/settings.xml" Id="Rbcc9cd7525234076" /><Relationship Type="http://schemas.openxmlformats.org/officeDocument/2006/relationships/styles" Target="/word/styles.xml" Id="R4899ef637f1c4324" /><Relationship Type="http://schemas.openxmlformats.org/officeDocument/2006/relationships/hyperlink" Target="https://meteor.aihw.gov.au/RegistrationAuthority/12" TargetMode="External" Id="R407b5611eda2470e" /><Relationship Type="http://schemas.openxmlformats.org/officeDocument/2006/relationships/hyperlink" Target="https://www.legislation.gov.au/Series/C1905A00015" TargetMode="External" Id="R4bbd604c28f84a29" /><Relationship Type="http://schemas.openxmlformats.org/officeDocument/2006/relationships/hyperlink" Target="https://www.legislation.gov.au/Series/C2004A00282" TargetMode="External" Id="Raab05d3463e14a75" /><Relationship Type="http://schemas.openxmlformats.org/officeDocument/2006/relationships/hyperlink" Target="http://www.abs.gov.au/websitedbs/d3310114.nsf/4a256353001af3ed4b2562bb00121564/10ca14cb967e5b83ca2573ae00197b65!OpenDocument" TargetMode="External" Id="R5ac294868fea4e58" /><Relationship Type="http://schemas.openxmlformats.org/officeDocument/2006/relationships/hyperlink" Target="http://www.abs.gov.au/AUSSTATS/abs@.nsf/DetailsPage/4839.0.55.0012009" TargetMode="External" Id="Rfec0b1469f634c4c" /><Relationship Type="http://schemas.openxmlformats.org/officeDocument/2006/relationships/hyperlink" Target="http://www.abs.gov.au/AUSSTATS/abs@.nsf/second+level+view?ReadForm&amp;amp;prodno=4839.0&amp;amp;viewtitle=Patient%20Experiences%20in%20Australia:%20Summary%20of%20Findings~2015-16~Latest~15/11/2016&amp;amp;&amp;amp;tabname=Past%20Future%20Issues&amp;amp;prodno=4839.0&amp;amp;issue=2015-16&amp;amp;num=&amp;amp;view=&amp;amp;" TargetMode="External" Id="Rc9990476b9a540b1" /><Relationship Type="http://schemas.openxmlformats.org/officeDocument/2006/relationships/hyperlink" Target="http://www.abs.gov.au/AUSSTATS/abs@.nsf/Lookup/2033.0.55.001Main+Features12011?OpenDocument" TargetMode="External" Id="Rbe1553485be849c4" /><Relationship Type="http://schemas.openxmlformats.org/officeDocument/2006/relationships/numbering" Target="/word/numbering.xml" Id="R0adbf4679aef4bb8" /><Relationship Type="http://schemas.openxmlformats.org/officeDocument/2006/relationships/hyperlink" Target="http://www.abs.gov.au/AUSSTATS/abs@.nsf/DetailsPage/4839.0.55.0012009" TargetMode="External" Id="R38efb7b46b30438b" /><Relationship Type="http://schemas.openxmlformats.org/officeDocument/2006/relationships/hyperlink" Target="http://www.abs.gov.au/AUSSTATS/abs@.nsf/allprimarymainfeatures/9606ED9BB0A8D82FCA257ABE0012F144?opendocument" TargetMode="External" Id="R575777842ded410c" /><Relationship Type="http://schemas.openxmlformats.org/officeDocument/2006/relationships/hyperlink" Target="http://www.abs.gov.au/AUSSTATS/abs@.nsf/allprimarymainfeatures/EF9A58BF23BD5957CA257C29000FFAA8?opendocument" TargetMode="External" Id="R83a7e5bf54364e91" /><Relationship Type="http://schemas.openxmlformats.org/officeDocument/2006/relationships/hyperlink" Target="http://www.abs.gov.au/AUSSTATS/abs@.nsf/allprimarymainfeatures/FACB879D128C03A6CA257D9D000C1D57?opendocument" TargetMode="External" Id="R3abb3f1dfdad490c" /><Relationship Type="http://schemas.openxmlformats.org/officeDocument/2006/relationships/hyperlink" Target="http://www.abs.gov.au/AUSSTATS/abs@.nsf/Lookup/2033.0.55.001Main+Features12011?OpenDocument" TargetMode="External" Id="Ra6214257b08a4a0b" /><Relationship Type="http://schemas.openxmlformats.org/officeDocument/2006/relationships/hyperlink" Target="http://www.abs.gov.au/AUSSTATS/abs@.nsf/allprimarymainfeatures/7B1190A3CC5DF0EACA257EFB00114069?opendocument" TargetMode="External" Id="Rb325fc47f8344b17" /><Relationship Type="http://schemas.openxmlformats.org/officeDocument/2006/relationships/hyperlink" Target="http://www.abs.gov.au/AUSSTATS/abs@.nsf/allprimarymainfeatures/FC8EFE56746DD682CA25806B000F5EE3?opendocument" TargetMode="External" Id="R9f97ddcacda74332" /><Relationship Type="http://schemas.openxmlformats.org/officeDocument/2006/relationships/hyperlink" Target="http://www.abs.gov.au/AUSSTATS/abs@.nsf/Lookup/4839.0Main+Features12015-16?OpenDocument" TargetMode="External" Id="R14e9af1f45f94243" /><Relationship Type="http://schemas.openxmlformats.org/officeDocument/2006/relationships/hyperlink" Target="http://www.abs.gov.au/AUSSTATS/abs@.nsf/Lookup/4839.0Main+Features12015-16?OpenDocument" TargetMode="External" Id="R490633221f9448c4" /><Relationship Type="http://schemas.openxmlformats.org/officeDocument/2006/relationships/hyperlink" Target="https://meteor.aihw.gov.au/content/600092" TargetMode="External" Id="R0e5abbb8a7cc46d5" /><Relationship Type="http://schemas.openxmlformats.org/officeDocument/2006/relationships/hyperlink" Target="https://meteor.aihw.gov.au/RegistrationAuthority/12" TargetMode="External" Id="R7079be3990264169" /><Relationship Type="http://schemas.openxmlformats.org/officeDocument/2006/relationships/hyperlink" Target="https://meteor.aihw.gov.au/content/681629" TargetMode="External" Id="R653c12db29494f05" /><Relationship Type="http://schemas.openxmlformats.org/officeDocument/2006/relationships/hyperlink" Target="https://meteor.aihw.gov.au/RegistrationAuthority/12" TargetMode="External" Id="R0ad54a9a25d740c6" /><Relationship Type="http://schemas.openxmlformats.org/officeDocument/2006/relationships/hyperlink" Target="https://meteor.aihw.gov.au/content/630020" TargetMode="External" Id="R650a07b1028840cb" /><Relationship Type="http://schemas.openxmlformats.org/officeDocument/2006/relationships/hyperlink" Target="https://meteor.aihw.gov.au/RegistrationAuthority/12" TargetMode="External" Id="R6b50c198c4604060" /></Relationships>
</file>

<file path=word/_rels/header1.xml.rels>&#65279;<?xml version="1.0" encoding="utf-8"?><Relationships xmlns="http://schemas.openxmlformats.org/package/2006/relationships"><Relationship Type="http://schemas.openxmlformats.org/officeDocument/2006/relationships/image" Target="/media/image.png" Id="R81e48eff08284053" /></Relationships>
</file>