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81a1e286b41ec"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7a-Proportion of patients with current or resolved delirium who have an individualised care plan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7a-Proportion of patients with current or resolved delirium who have an 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7a-Proportion of patients with current or resolved delirium who have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5208a2220438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current or resolved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cee654c801994953">
              <w:r>
                <w:rPr>
                  <w:rStyle w:val="Hyperlink"/>
                  <w:b/>
                </w:rPr>
                <w:t xml:space="preserve">delirium </w:t>
              </w:r>
            </w:hyperlink>
            <w:r>
              <w:rPr>
                <w:rStyle w:val="row-content-rich-text"/>
              </w:rPr>
              <w:t xml:space="preserve">who have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communication between hospital clinicians and ongoing clinical providers is essential for the ongoing care and recovery of patients with delirium (Clinical Epidemiology and Health Service Evaluation Unit 2006), many of whom may have unresolved symptoms at the time of discharge (Wong et al. 2012). Involving patients and carers in the development of the care plan allows treatment goals to be tailored to the patient’s needs and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ee020495884060">
              <w:r>
                <w:rPr>
                  <w:rStyle w:val="Hyperlink"/>
                </w:rPr>
                <w:t xml:space="preserve">Clinical care standard indicators: delirium</w:t>
              </w:r>
            </w:hyperlink>
          </w:p>
          <w:p>
            <w:pPr>
              <w:pStyle w:val="registration-status"/>
              <w:spacing w:before="0" w:after="0"/>
            </w:pPr>
            <w:hyperlink w:history="true" r:id="R80374d7ac4d94f2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97900b105348e4">
              <w:r>
                <w:rPr>
                  <w:rStyle w:val="Hyperlink"/>
                </w:rPr>
                <w:t xml:space="preserve">Transition from hospital care</w:t>
              </w:r>
            </w:hyperlink>
          </w:p>
          <w:p>
            <w:pPr>
              <w:pStyle w:val="registration-status"/>
              <w:spacing w:before="0" w:after="0"/>
            </w:pPr>
            <w:hyperlink w:history="true" r:id="R9c32896fb557487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delirium that is current or resolved at the time of discharge from hospital.</w:t>
            </w:r>
          </w:p>
          <w:p>
            <w:pPr>
              <w:spacing w:after="160"/>
            </w:pPr>
            <w:r>
              <w:rPr>
                <w:rStyle w:val="row-content-rich-text"/>
              </w:rPr>
              <w:t xml:space="preserve">For an individualised care plan to be included for a patient in the numerator, it needs to be developed collaboratively with the patient’s general practitioner, and involving the patient and their carer. It should be documented, and include the following:</w:t>
            </w:r>
          </w:p>
          <w:p>
            <w:pPr>
              <w:pStyle w:val="ListParagraph"/>
              <w:numPr>
                <w:ilvl w:val="0"/>
                <w:numId w:val="2"/>
              </w:numPr>
            </w:pPr>
            <w:r>
              <w:rPr>
                <w:rStyle w:val="row-content-rich-text"/>
              </w:rPr>
              <w:t xml:space="preserve">a description of the patient’s diagnoses</w:t>
            </w:r>
          </w:p>
          <w:p>
            <w:pPr>
              <w:pStyle w:val="ListParagraph"/>
              <w:numPr>
                <w:ilvl w:val="0"/>
                <w:numId w:val="2"/>
              </w:numPr>
            </w:pPr>
            <w:r>
              <w:rPr>
                <w:rStyle w:val="row-content-rich-text"/>
              </w:rPr>
              <w:t xml:space="preserve">the patient’s goals of care</w:t>
            </w:r>
          </w:p>
          <w:p>
            <w:pPr>
              <w:pStyle w:val="ListParagraph"/>
              <w:numPr>
                <w:ilvl w:val="0"/>
                <w:numId w:val="2"/>
              </w:numPr>
            </w:pPr>
            <w:r>
              <w:rPr>
                <w:rStyle w:val="row-content-rich-text"/>
              </w:rPr>
              <w:t xml:space="preserve">current list of medicines and the conditions for which they are prescribed</w:t>
            </w:r>
          </w:p>
          <w:p>
            <w:pPr>
              <w:pStyle w:val="ListParagraph"/>
              <w:numPr>
                <w:ilvl w:val="0"/>
                <w:numId w:val="2"/>
              </w:numPr>
            </w:pPr>
            <w:r>
              <w:rPr>
                <w:rStyle w:val="row-content-rich-text"/>
              </w:rPr>
              <w:t xml:space="preserve">if prescribed, a plan for ongoing review and withdrawal of antipsychotic medicines</w:t>
            </w:r>
          </w:p>
          <w:p>
            <w:pPr>
              <w:pStyle w:val="ListParagraph"/>
              <w:numPr>
                <w:ilvl w:val="0"/>
                <w:numId w:val="2"/>
              </w:numPr>
            </w:pPr>
            <w:r>
              <w:rPr>
                <w:rStyle w:val="row-content-rich-text"/>
              </w:rPr>
              <w:t xml:space="preserve">any other medicines that have been discontinued and the reasons for discontinuing them</w:t>
            </w:r>
          </w:p>
          <w:p>
            <w:pPr>
              <w:pStyle w:val="ListParagraph"/>
              <w:numPr>
                <w:ilvl w:val="0"/>
                <w:numId w:val="2"/>
              </w:numPr>
            </w:pPr>
            <w:r>
              <w:rPr>
                <w:rStyle w:val="row-content-rich-text"/>
              </w:rPr>
              <w:t xml:space="preserve">any ongoing treatments that the patient needs for delirium and any other health conditions</w:t>
            </w:r>
          </w:p>
          <w:p>
            <w:pPr>
              <w:pStyle w:val="ListParagraph"/>
              <w:numPr>
                <w:ilvl w:val="0"/>
                <w:numId w:val="2"/>
              </w:numPr>
            </w:pPr>
            <w:r>
              <w:rPr>
                <w:rStyle w:val="row-content-rich-text"/>
              </w:rPr>
              <w:t xml:space="preserve">strategies that can reduce the patient’s risk of delirium, or prevent complications from it</w:t>
            </w:r>
          </w:p>
          <w:p>
            <w:pPr>
              <w:pStyle w:val="ListParagraph"/>
              <w:numPr>
                <w:ilvl w:val="0"/>
                <w:numId w:val="2"/>
              </w:numPr>
            </w:pPr>
            <w:r>
              <w:rPr>
                <w:rStyle w:val="row-content-rich-text"/>
              </w:rPr>
              <w:t xml:space="preserve">community support services that the patient is referred to.</w:t>
            </w:r>
          </w:p>
          <w:p>
            <w:pPr>
              <w:spacing w:after="160"/>
            </w:pPr>
            <w:r>
              <w:rPr>
                <w:rStyle w:val="row-content-rich-text"/>
              </w:rPr>
              <w:t xml:space="preserve">It should be provided:</w:t>
            </w:r>
          </w:p>
          <w:p>
            <w:pPr>
              <w:pStyle w:val="ListParagraph"/>
              <w:numPr>
                <w:ilvl w:val="0"/>
                <w:numId w:val="3"/>
              </w:numPr>
            </w:pPr>
            <w:r>
              <w:rPr>
                <w:rStyle w:val="row-content-rich-text"/>
              </w:rPr>
              <w:t xml:space="preserve">to the patient and their carer before they leave hospital; and</w:t>
            </w:r>
          </w:p>
          <w:p>
            <w:pPr>
              <w:pStyle w:val="ListParagraph"/>
              <w:numPr>
                <w:ilvl w:val="0"/>
                <w:numId w:val="3"/>
              </w:numPr>
            </w:pPr>
            <w:r>
              <w:rPr>
                <w:rStyle w:val="row-content-rich-text"/>
              </w:rPr>
              <w:t xml:space="preserve">to the patient’s general practitioner and other ongoing clinical providers within 48 hours of the patient leaving hospital.</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b3dc236529f94ae3">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current or resolved delirium who have an individualised care plan 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discharged with current or resolved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afd46ea412284456">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492c3e234815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628112</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a389a85fa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c3e2348154e2d" /><Relationship Type="http://schemas.openxmlformats.org/officeDocument/2006/relationships/header" Target="/word/header1.xml" Id="R1064724d29f44dc0" /><Relationship Type="http://schemas.openxmlformats.org/officeDocument/2006/relationships/settings" Target="/word/settings.xml" Id="R64a91b5ef43d496b" /><Relationship Type="http://schemas.openxmlformats.org/officeDocument/2006/relationships/styles" Target="/word/styles.xml" Id="R3ceb9c0a445241c4" /><Relationship Type="http://schemas.openxmlformats.org/officeDocument/2006/relationships/numbering" Target="/word/numbering.xml" Id="R69b656382f964e3b" /><Relationship Type="http://schemas.openxmlformats.org/officeDocument/2006/relationships/hyperlink" Target="https://meteor.aihw.gov.au/RegistrationAuthority/12" TargetMode="External" Id="Ra295208a22204381" /><Relationship Type="http://schemas.openxmlformats.org/officeDocument/2006/relationships/hyperlink" Target="https://meteor.aihw.gov.au/content/628579" TargetMode="External" Id="Rcee654c801994953" /><Relationship Type="http://schemas.openxmlformats.org/officeDocument/2006/relationships/hyperlink" Target="https://meteor.aihw.gov.au/content/613164" TargetMode="External" Id="R4aee020495884060" /><Relationship Type="http://schemas.openxmlformats.org/officeDocument/2006/relationships/hyperlink" Target="https://meteor.aihw.gov.au/RegistrationAuthority/12" TargetMode="External" Id="R80374d7ac4d94f24" /><Relationship Type="http://schemas.openxmlformats.org/officeDocument/2006/relationships/hyperlink" Target="https://meteor.aihw.gov.au/content/624413" TargetMode="External" Id="R8597900b105348e4" /><Relationship Type="http://schemas.openxmlformats.org/officeDocument/2006/relationships/hyperlink" Target="https://meteor.aihw.gov.au/RegistrationAuthority/12" TargetMode="External" Id="R9c32896fb5574875" /><Relationship Type="http://schemas.openxmlformats.org/officeDocument/2006/relationships/hyperlink" Target="https://meteor.aihw.gov.au/content/584408" TargetMode="External" Id="Rb3dc236529f94ae3" /><Relationship Type="http://schemas.openxmlformats.org/officeDocument/2006/relationships/hyperlink" Target="http://docs.health.vic.gov.au/docs/doc/A9F4D074829CD75ACA25785200120044/$FILE/delirium-cpg.pdf" TargetMode="External" Id="Rafd46ea412284456" /></Relationships>
</file>

<file path=word/_rels/header1.xml.rels>&#65279;<?xml version="1.0" encoding="utf-8"?><Relationships xmlns="http://schemas.openxmlformats.org/package/2006/relationships"><Relationship Type="http://schemas.openxmlformats.org/officeDocument/2006/relationships/image" Target="/media/image.png" Id="R5baa389a85fa4c20" /></Relationships>
</file>