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aa25b75b0441b2"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5a-Evidence of local arrangements for patients with delirium to be assessed for risk of falls and pressure injuries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5a-Evidence of local arrangements for patients with delirium to be assessed for risk of falls and pressure injuries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5a-Evidence of local arrangements for patients with delirium to be assessed for risk of falls and pressure injuries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e4b553915043c4">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local arrangements for patients with </w:t>
            </w:r>
            <w:hyperlink w:tooltip="For the purposes of the Delirium clinical care standard (ACSQHC 2015), delirium is defined as an acute change in mental status that is common among older patients in hospital (Clinical Epidemiology and Health Service Evaluation Unit 2006). It is charac..." w:history="true" r:id="Rc8f8c55dce3945a8">
              <w:r>
                <w:rPr>
                  <w:rStyle w:val="Hyperlink"/>
                  <w:b/>
                </w:rPr>
                <w:t xml:space="preserve">delirium</w:t>
              </w:r>
            </w:hyperlink>
            <w:r>
              <w:rPr>
                <w:rStyle w:val="row-content-rich-text"/>
              </w:rPr>
              <w:t xml:space="preserve"> to be assessed for risk of falls and pressure injuries.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with delirium are at greater risk of adverse events, including falls (Travers et al. 2013; Inouye et al. 2014; Maher &amp; Almeida 2002) and pressure injuries (Inouye et al. 2014; Maher &amp; Almeida 2002).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906b2d979234561">
              <w:r>
                <w:rPr>
                  <w:rStyle w:val="Hyperlink"/>
                </w:rPr>
                <w:t xml:space="preserve">Clinical care standard indicators: delirium</w:t>
              </w:r>
            </w:hyperlink>
          </w:p>
          <w:p>
            <w:pPr>
              <w:spacing w:before="0" w:after="0"/>
            </w:pPr>
            <w:r>
              <w:rPr>
                <w:rStyle w:val="row-content"/>
                <w:color w:val="244061"/>
              </w:rPr>
              <w:t xml:space="preserve">       </w:t>
            </w:r>
            <w:hyperlink w:history="true" r:id="R3d9a105305e044ec">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f084d84bd2943ac">
              <w:r>
                <w:rPr>
                  <w:rStyle w:val="Hyperlink"/>
                </w:rPr>
                <w:t xml:space="preserve">Preventing falls and pressure injuries</w:t>
              </w:r>
            </w:hyperlink>
          </w:p>
          <w:p>
            <w:pPr>
              <w:spacing w:before="0" w:after="0"/>
            </w:pPr>
            <w:r>
              <w:rPr>
                <w:rStyle w:val="row-content"/>
                <w:color w:val="244061"/>
              </w:rPr>
              <w:t xml:space="preserve">       </w:t>
            </w:r>
            <w:hyperlink w:history="true" r:id="R27a5605f0da24b2a">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Documented evidence of local arrangements for patients with delirium</w:t>
            </w:r>
            <w:hyperlink w:tooltip="For the purposes of the Delirium clinical care standard (ACSQHC 2015), delirium is defined as an acute change in mental status that is common among older patients in hospital (Clinical Epidemiology and Health Service Evaluation Unit 2006). It is charac..." w:history="true" r:id="R796fbe29fb404358">
              <w:r>
                <w:rPr>
                  <w:rStyle w:val="Hyperlink"/>
                  <w:b/>
                </w:rPr>
                <w:t xml:space="preserve"> </w:t>
              </w:r>
            </w:hyperlink>
            <w:r>
              <w:rPr>
                <w:rStyle w:val="row-content-rich-text"/>
              </w:rPr>
              <w:t xml:space="preserve">to be assessed for risk of falls and pressure injuries.</w:t>
            </w:r>
          </w:p>
          <w:p>
            <w:pPr>
              <w:spacing w:after="160"/>
            </w:pPr>
            <w:r>
              <w:rPr>
                <w:rStyle w:val="row-content-rich-text"/>
              </w:rPr>
              <w:t xml:space="preserve">Refer to the NSQHS Standards: </w:t>
            </w:r>
            <w:r>
              <w:rPr>
                <w:rStyle w:val="row-content-rich-text"/>
                <w:i/>
              </w:rPr>
              <w:t xml:space="preserve">Standard 8: Preventing and Managing Pressure Injuries; and Standard 10: Preventing Falls and Harm from Falls</w:t>
            </w:r>
            <w:r>
              <w:rPr>
                <w:rStyle w:val="row-content-rich-text"/>
              </w:rPr>
              <w:t xml:space="preserve"> (ACSQHC 2016).</w:t>
            </w:r>
          </w:p>
          <w:p>
            <w:pPr/>
            <w:r>
              <w:rPr>
                <w:rStyle w:val="row-content-rich-text"/>
              </w:rPr>
              <w:t xml:space="preserve">Unless explicitly stated in the indicator, all patients with delirium are included in both the numerator and the denominator, not only those where </w:t>
            </w:r>
            <w:hyperlink w:history="true" r:id="R13907751a2a54e62">
              <w:r>
                <w:rPr>
                  <w:rStyle w:val="Hyperlink"/>
                </w:rPr>
                <w:t xml:space="preserve">Hospital service—care type, code N[N]</w:t>
              </w:r>
            </w:hyperlink>
            <w:r>
              <w:rPr>
                <w:rStyle w:val="row-content-rich-text"/>
              </w:rPr>
              <w:t xml:space="preserve"> = 1 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was sourced from the </w:t>
            </w:r>
            <w:r>
              <w:rPr>
                <w:rStyle w:val="row-content-rich-text"/>
                <w:i/>
              </w:rPr>
              <w:t xml:space="preserve">Key principles for care of confused hospitalised older </w:t>
            </w:r>
            <w:r>
              <w:rPr>
                <w:rStyle w:val="row-content-rich-text"/>
                <w:i/>
              </w:rPr>
              <w:t xml:space="preserve">persons </w:t>
            </w:r>
            <w:r>
              <w:rPr>
                <w:rStyle w:val="row-content-rich-text"/>
              </w:rPr>
              <w:t xml:space="preserve">(ACI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ACI (Agency for Clinical Innovation) 2014. Key Principles for care of confused hospitalised older persons. Sydney: ACI.</w:t>
            </w:r>
          </w:p>
          <w:p>
            <w:pPr>
              <w:spacing w:after="160"/>
            </w:pPr>
            <w:r>
              <w:rPr>
                <w:rStyle w:val="row-content-rich-text"/>
              </w:rPr>
              <w:t xml:space="preserve">ACSQHC (Australian Commission on Safety and Quality in Health Care) 2016. Accreditation and the NSQHS Standards. Viewed 16 February 2016,</w:t>
            </w:r>
            <w:r>
              <w:br/>
            </w:r>
            <w:hyperlink w:history="true" r:id="R53ee8ccb0b1a486b">
              <w:r>
                <w:rPr>
                  <w:rStyle w:val="Hyperlink"/>
                </w:rPr>
                <w:t xml:space="preserve">http://www.safetyandquality.gov.au/our-work/ accreditation-and-the-nsqhs-standards/</w:t>
              </w:r>
            </w:hyperlink>
            <w:r>
              <w:rPr>
                <w:rStyle w:val="row-content-rich-text"/>
              </w:rPr>
              <w:t xml:space="preserve">.</w:t>
            </w:r>
          </w:p>
          <w:p>
            <w:pPr>
              <w:spacing w:after="160"/>
            </w:pPr>
            <w:r>
              <w:rPr>
                <w:rStyle w:val="row-content-rich-text"/>
              </w:rPr>
              <w:t xml:space="preserve">Inouye S, Westendorp R &amp; Saczynski J 2014. Delirium in elderly people. The Lancet 383(9920):911-22.</w:t>
            </w:r>
          </w:p>
          <w:p>
            <w:pPr>
              <w:spacing w:after="160"/>
            </w:pPr>
            <w:r>
              <w:rPr>
                <w:rStyle w:val="row-content-rich-text"/>
              </w:rPr>
              <w:t xml:space="preserve">Maher S &amp; Almeida O 2002. Delirium in the elderly another medical emergency. Current Therapeutics March 2002:39-45.</w:t>
            </w:r>
          </w:p>
          <w:p>
            <w:pPr/>
            <w:r>
              <w:rPr>
                <w:rStyle w:val="row-content-rich-text"/>
              </w:rPr>
              <w:t xml:space="preserve">Travers C, Byrne G, Pachana N, Klein K &amp; Gray L 2013. Delirium in Australian hospitals: a prospective study. Current Gerontology and Geriatrics Research 2013:284780.</w:t>
            </w:r>
          </w:p>
        </w:tc>
      </w:tr>
    </w:tbl>
    <w:p>
      <w:r>
        <w:br/>
      </w:r>
    </w:p>
    <w:sectPr>
      <w:footerReference xmlns:r="http://schemas.openxmlformats.org/officeDocument/2006/relationships" w:type="default" r:id="Re13f1e65a77a4a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628096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4b8bcf59b348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3f1e65a77a4a74" /><Relationship Type="http://schemas.openxmlformats.org/officeDocument/2006/relationships/header" Target="/word/header1.xml" Id="Re1afaed5e2c34dcc" /><Relationship Type="http://schemas.openxmlformats.org/officeDocument/2006/relationships/settings" Target="/word/settings.xml" Id="Rb6e415b5db3542d4" /><Relationship Type="http://schemas.openxmlformats.org/officeDocument/2006/relationships/styles" Target="/word/styles.xml" Id="R91ed426771c641b5" /><Relationship Type="http://schemas.openxmlformats.org/officeDocument/2006/relationships/hyperlink" Target="https://meteor.aihw.gov.au/RegistrationAuthority/12" TargetMode="External" Id="R67e4b553915043c4" /><Relationship Type="http://schemas.openxmlformats.org/officeDocument/2006/relationships/hyperlink" Target="https://meteor.aihw.gov.au/content/628579" TargetMode="External" Id="Rc8f8c55dce3945a8" /><Relationship Type="http://schemas.openxmlformats.org/officeDocument/2006/relationships/hyperlink" Target="https://meteor.aihw.gov.au/content/613164" TargetMode="External" Id="R8906b2d979234561" /><Relationship Type="http://schemas.openxmlformats.org/officeDocument/2006/relationships/hyperlink" Target="https://meteor.aihw.gov.au/RegistrationAuthority/12" TargetMode="External" Id="R3d9a105305e044ec" /><Relationship Type="http://schemas.openxmlformats.org/officeDocument/2006/relationships/hyperlink" Target="https://meteor.aihw.gov.au/content/624405" TargetMode="External" Id="R2f084d84bd2943ac" /><Relationship Type="http://schemas.openxmlformats.org/officeDocument/2006/relationships/hyperlink" Target="https://meteor.aihw.gov.au/RegistrationAuthority/12" TargetMode="External" Id="R27a5605f0da24b2a" /><Relationship Type="http://schemas.openxmlformats.org/officeDocument/2006/relationships/hyperlink" Target="https://meteor.aihw.gov.au/content/628579" TargetMode="External" Id="R796fbe29fb404358" /><Relationship Type="http://schemas.openxmlformats.org/officeDocument/2006/relationships/hyperlink" Target="https://meteor.aihw.gov.au/content/584408" TargetMode="External" Id="R13907751a2a54e62" /><Relationship Type="http://schemas.openxmlformats.org/officeDocument/2006/relationships/hyperlink" Target="http://www.safetyandquality.gov.au/our-work/accreditation-and-the-nsqhs-standards/" TargetMode="External" Id="R53ee8ccb0b1a486b" /></Relationships>
</file>

<file path=word/_rels/header1.xml.rels>&#65279;<?xml version="1.0" encoding="utf-8"?><Relationships xmlns="http://schemas.openxmlformats.org/package/2006/relationships"><Relationship Type="http://schemas.openxmlformats.org/officeDocument/2006/relationships/image" Target="/media/image.png" Id="R854b8bcf59b34867" /></Relationships>
</file>