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91e5e0c1564868"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2a-Evidence of training sessions undertaken by staff in the use of a validated diagnostic tool for delirium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2a-Evidence of training sessions undertaken by staff in the use of a validated diagnostic tool for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2a-Evidence of training sessions undertaken by staff in the use of a validated diagnostic tool for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9f56e2f354246">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training sessions undertaken by hospital staff in the use of a validated diagnostic tool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ec5e2a94240342b2">
              <w:r>
                <w:rPr>
                  <w:rStyle w:val="Hyperlink"/>
                  <w:b/>
                </w:rPr>
                <w:t xml:space="preserve">delirium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diagnosis and prompt treatment offers patients with delirium the best chance of recovery (Clinical Epidemiology and Health Service Evaluation Unit 2006). A range of clinicians can accurately diagnose delirium using a validated assessment tool, but training in the tool is essential (Wei et al.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80d0a217c6456b">
              <w:r>
                <w:rPr>
                  <w:rStyle w:val="Hyperlink"/>
                </w:rPr>
                <w:t xml:space="preserve">Clinical care standard indicators: delirium</w:t>
              </w:r>
            </w:hyperlink>
          </w:p>
          <w:p>
            <w:pPr>
              <w:spacing w:before="0" w:after="0"/>
            </w:pPr>
            <w:r>
              <w:rPr>
                <w:rStyle w:val="row-content"/>
                <w:color w:val="244061"/>
              </w:rPr>
              <w:t xml:space="preserve">       </w:t>
            </w:r>
            <w:hyperlink w:history="true" r:id="R493bce1dfdd54aff">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59dabb6fb248a6">
              <w:r>
                <w:rPr>
                  <w:rStyle w:val="Hyperlink"/>
                </w:rPr>
                <w:t xml:space="preserve">Assessing for delirium</w:t>
              </w:r>
            </w:hyperlink>
          </w:p>
          <w:p>
            <w:pPr>
              <w:spacing w:before="0" w:after="0"/>
            </w:pPr>
            <w:r>
              <w:rPr>
                <w:rStyle w:val="row-content"/>
                <w:color w:val="244061"/>
              </w:rPr>
              <w:t xml:space="preserve">       </w:t>
            </w:r>
            <w:hyperlink w:history="true" r:id="Rb85efce75995496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training undertaken by staff in the use of a validated diagnostic tool for delirium.</w:t>
            </w:r>
          </w:p>
          <w:p>
            <w:pPr>
              <w:spacing w:after="160"/>
            </w:pPr>
            <w:r>
              <w:rPr>
                <w:rStyle w:val="row-content-rich-text"/>
              </w:rPr>
              <w:t xml:space="preserve">Staff predominantly includes nursing staff, but may also include medical and allied health staff.</w:t>
            </w:r>
          </w:p>
          <w:p>
            <w:pPr>
              <w:spacing w:after="160"/>
            </w:pPr>
            <w:r>
              <w:rPr>
                <w:rStyle w:val="row-content-rich-text"/>
              </w:rPr>
              <w:t xml:space="preserve">Some validated diagnostic tools for delirium include:</w:t>
            </w:r>
          </w:p>
          <w:p>
            <w:pPr>
              <w:pStyle w:val="ListParagraph"/>
              <w:numPr>
                <w:ilvl w:val="0"/>
                <w:numId w:val="2"/>
              </w:numPr>
            </w:pPr>
            <w:r>
              <w:rPr>
                <w:rStyle w:val="row-content-rich-text"/>
              </w:rPr>
              <w:t xml:space="preserve">Confusion Assessment Method (CAM) (Inouye et al. 2014; Shi et al. 2013)</w:t>
            </w:r>
          </w:p>
          <w:p>
            <w:pPr>
              <w:pStyle w:val="ListParagraph"/>
              <w:numPr>
                <w:ilvl w:val="0"/>
                <w:numId w:val="2"/>
              </w:numPr>
            </w:pPr>
            <w:r>
              <w:rPr>
                <w:rStyle w:val="row-content-rich-text"/>
              </w:rPr>
              <w:t xml:space="preserve">Confusion Assessment Method (CAM-ICU) (Ely et al. 2001)</w:t>
            </w:r>
          </w:p>
          <w:p>
            <w:pPr>
              <w:pStyle w:val="ListParagraph"/>
              <w:numPr>
                <w:ilvl w:val="0"/>
                <w:numId w:val="2"/>
              </w:numPr>
            </w:pPr>
            <w:r>
              <w:rPr>
                <w:rStyle w:val="row-content-rich-text"/>
              </w:rPr>
              <w:t xml:space="preserve">3D-CAM (Marcantonio et al. 2014).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the </w:t>
            </w:r>
            <w:r>
              <w:rPr>
                <w:rStyle w:val="row-content-rich-text"/>
                <w:i/>
              </w:rPr>
              <w:t xml:space="preserve">Key principles for care of confused hospitalised older 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0f4db38247d44ce8">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Ely EW et al. 2001. Evaluation of delirium in critically ill patients: validation of the Confusion Assessment Method for the Intensive Care Unit (CAM-ICU). Critical Care Medicine 29(7):1370-9.</w:t>
            </w:r>
          </w:p>
          <w:p>
            <w:pPr>
              <w:spacing w:after="160"/>
            </w:pPr>
            <w:r>
              <w:rPr>
                <w:rStyle w:val="row-content-rich-text"/>
              </w:rPr>
              <w:t xml:space="preserve">Inouye S, Westendorp R &amp; Saczynski J 2014. Delirium in elderly people. The Lancet 383(9920):911-22.</w:t>
            </w:r>
          </w:p>
          <w:p>
            <w:pPr>
              <w:spacing w:after="160"/>
            </w:pPr>
            <w:r>
              <w:rPr>
                <w:rStyle w:val="row-content-rich-text"/>
              </w:rPr>
              <w:t xml:space="preserve">Marcantonio ER et al. 2014. 3D-CAM: derivation and validation of a 3-minute diagnostic interview for CAM-defined delirium: a cross-sectional diagnostic test study. Annals of Internal Medicine 161(8):554-61.</w:t>
            </w:r>
          </w:p>
          <w:p>
            <w:pPr>
              <w:spacing w:after="160"/>
            </w:pPr>
            <w:r>
              <w:rPr>
                <w:rStyle w:val="row-content-rich-text"/>
              </w:rPr>
              <w:t xml:space="preserve">Shi Q, Warren L, Saposnik G &amp; Macdermid JC 2013. Confusion assessment method: a systematic review and meta-analysis of diagnostic accuracy. Neuropsychiatric Disease and Treatment 9:1359-70.</w:t>
            </w:r>
          </w:p>
          <w:p>
            <w:pPr/>
            <w:r>
              <w:rPr>
                <w:rStyle w:val="row-content-rich-text"/>
              </w:rPr>
              <w:t xml:space="preserve">Wei LA, Fearing MA, Sternberg EJ &amp; Inouye SK 2008. The Confusion Assessment Method: a systematic review of current usage. Journal of the American Geriatrics Society 56(5):823-30.</w:t>
            </w:r>
          </w:p>
        </w:tc>
      </w:tr>
    </w:tbl>
    <w:p>
      <w:r>
        <w:br/>
      </w:r>
    </w:p>
    <w:sectPr>
      <w:footerReference xmlns:r="http://schemas.openxmlformats.org/officeDocument/2006/relationships" w:type="default" r:id="R05b4cc2c339b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593117641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4cc2c339b4ae8" /><Relationship Type="http://schemas.openxmlformats.org/officeDocument/2006/relationships/header" Target="/word/header1.xml" Id="R5a2e0b712666432f" /><Relationship Type="http://schemas.openxmlformats.org/officeDocument/2006/relationships/settings" Target="/word/settings.xml" Id="R647be654552f4724" /><Relationship Type="http://schemas.openxmlformats.org/officeDocument/2006/relationships/styles" Target="/word/styles.xml" Id="Rab71e46a419c4f8f" /><Relationship Type="http://schemas.openxmlformats.org/officeDocument/2006/relationships/hyperlink" Target="https://meteor.aihw.gov.au/RegistrationAuthority/12" TargetMode="External" Id="R19f9f56e2f354246" /><Relationship Type="http://schemas.openxmlformats.org/officeDocument/2006/relationships/hyperlink" Target="https://meteor.aihw.gov.au/content/628579" TargetMode="External" Id="Rec5e2a94240342b2" /><Relationship Type="http://schemas.openxmlformats.org/officeDocument/2006/relationships/hyperlink" Target="https://meteor.aihw.gov.au/content/613164" TargetMode="External" Id="Rf880d0a217c6456b" /><Relationship Type="http://schemas.openxmlformats.org/officeDocument/2006/relationships/hyperlink" Target="https://meteor.aihw.gov.au/RegistrationAuthority/12" TargetMode="External" Id="R493bce1dfdd54aff" /><Relationship Type="http://schemas.openxmlformats.org/officeDocument/2006/relationships/hyperlink" Target="https://meteor.aihw.gov.au/content/627940" TargetMode="External" Id="Rd059dabb6fb248a6" /><Relationship Type="http://schemas.openxmlformats.org/officeDocument/2006/relationships/hyperlink" Target="https://meteor.aihw.gov.au/RegistrationAuthority/12" TargetMode="External" Id="Rb85efce759954960" /><Relationship Type="http://schemas.openxmlformats.org/officeDocument/2006/relationships/numbering" Target="/word/numbering.xml" Id="R659aa80b65b7463b" /><Relationship Type="http://schemas.openxmlformats.org/officeDocument/2006/relationships/hyperlink" Target="http://docs.health.vic.gov.au/docs/doc/A9F4D074829CD75ACA25785200120044/$FILE/delirium-cpg.pdf" TargetMode="External" Id="R0f4db38247d44ce8" /></Relationships>
</file>

<file path=word/_rels/header1.xml.rels>&#65279;<?xml version="1.0" encoding="utf-8"?><Relationships xmlns="http://schemas.openxmlformats.org/package/2006/relationships"><Relationship Type="http://schemas.openxmlformats.org/officeDocument/2006/relationships/image" Target="/media/image.png" Id="R4b75931176414601" /></Relationships>
</file>