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5b2ff2a5574a8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after-hours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after-hours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after-hours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98fc2b2dd447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after-hours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3ea008d595460b">
              <w:r>
                <w:rPr>
                  <w:rStyle w:val="Hyperlink"/>
                </w:rPr>
                <w:t xml:space="preserve">National Health Performance Authority: Healthy Communities: 2011–</w:t>
              </w:r>
            </w:hyperlink>
          </w:p>
          <w:p>
            <w:pPr>
              <w:pStyle w:val="registration-status"/>
              <w:spacing w:before="0" w:after="0"/>
            </w:pPr>
            <w:hyperlink w:history="true" r:id="R9d4dcc372a694fd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on GP after-hours attendances.</w:t>
            </w:r>
          </w:p>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applies) and A23 (other non-referred after hours attendances to which no other item applies).</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Department of Health for the financial year of processing, 2013-14.</w:t>
            </w:r>
          </w:p>
          <w:p>
            <w:pPr>
              <w:spacing w:after="160"/>
            </w:pPr>
            <w:r>
              <w:rPr>
                <w:rStyle w:val="row-content-rich-text"/>
              </w:rPr>
              <w:t xml:space="preserve">Denominator data – Estimated Resident Population at 30 June 2013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expenditure on after-hours GP attendances 2013-14</w:t>
            </w:r>
          </w:p>
          <w:p>
            <w:pPr>
              <w:spacing w:after="160"/>
            </w:pPr>
            <w:r>
              <w:rPr>
                <w:rStyle w:val="row-content-rich-text"/>
              </w:rPr>
              <w:t xml:space="preserve">Medicare benefits expenditure on after-hours GP attendances, age standardised 2013-14</w:t>
            </w:r>
          </w:p>
          <w:p>
            <w:pPr>
              <w:spacing w:after="160"/>
            </w:pPr>
            <w:r>
              <w:rPr>
                <w:rStyle w:val="row-content-rich-text"/>
              </w:rPr>
              <w:t xml:space="preserve">For more information about age-standardisation, please see:</w:t>
            </w:r>
          </w:p>
          <w:p>
            <w:hyperlink w:history="true" r:id="R02f72c0a0f51444f">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after-hours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5f762fa4484f9f">
              <w:r>
                <w:rPr>
                  <w:rStyle w:val="Hyperlink"/>
                </w:rPr>
                <w:t xml:space="preserve">Person—age, total years N[NN]</w:t>
              </w:r>
            </w:hyperlink>
          </w:p>
          <w:p>
            <w:r>
              <w:rPr>
                <w:rStyle w:val="row-content"/>
                <w:b/>
              </w:rPr>
              <w:t xml:space="preserve">Data Source</w:t>
            </w:r>
          </w:p>
          <w:p>
            <w:hyperlink w:history="true" r:id="R6afab163187a4d9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e7e6b425334f05">
              <w:r>
                <w:rPr>
                  <w:rStyle w:val="Hyperlink"/>
                </w:rPr>
                <w:t xml:space="preserve">Address—Australian postcode, Australian postcode code (Postcode datafile) {NNNN}</w:t>
              </w:r>
            </w:hyperlink>
          </w:p>
          <w:p>
            <w:r>
              <w:rPr>
                <w:rStyle w:val="row-content"/>
                <w:b/>
              </w:rPr>
              <w:t xml:space="preserve">Data Source</w:t>
            </w:r>
          </w:p>
          <w:p>
            <w:hyperlink w:history="true" r:id="R3ef28081a5e2488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234bb714544b63">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b64fda18af8d4c6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e5e1788cd24f88">
              <w:r>
                <w:rPr>
                  <w:rStyle w:val="Hyperlink"/>
                </w:rPr>
                <w:t xml:space="preserve">Person—General Practitioner MBS out of hours health assessment indicator, yes/no code N</w:t>
              </w:r>
            </w:hyperlink>
          </w:p>
          <w:p>
            <w:r>
              <w:rPr>
                <w:rStyle w:val="row-content"/>
                <w:b/>
              </w:rPr>
              <w:t xml:space="preserve">Data Source</w:t>
            </w:r>
          </w:p>
          <w:p>
            <w:hyperlink w:history="true" r:id="R2993bce58a17446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debb34b5384308">
              <w:r>
                <w:rPr>
                  <w:rStyle w:val="Hyperlink"/>
                </w:rPr>
                <w:t xml:space="preserve">Person—estimated resident population of Australia, total people N[N(7)]</w:t>
              </w:r>
            </w:hyperlink>
          </w:p>
          <w:p>
            <w:r>
              <w:rPr>
                <w:rStyle w:val="row-content"/>
                <w:b/>
              </w:rPr>
              <w:t xml:space="preserve">Data Source</w:t>
            </w:r>
          </w:p>
          <w:p>
            <w:hyperlink w:history="true" r:id="R40fb56cad28e4c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83a63042a674d35">
              <w:r>
                <w:rPr>
                  <w:rStyle w:val="Hyperlink"/>
                </w:rPr>
                <w:t xml:space="preserve">Person—General Practitioner MBS out of hours health assessment indicator, yes/no code N</w:t>
              </w:r>
            </w:hyperlink>
          </w:p>
          <w:p>
            <w:r>
              <w:rPr>
                <w:rStyle w:val="row-content"/>
                <w:b/>
              </w:rPr>
              <w:t xml:space="preserve">Data Source</w:t>
            </w:r>
          </w:p>
          <w:p>
            <w:hyperlink w:history="true" r:id="R675d3ff9e20f467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7e5738327d46e2">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6c0c6d17027546ed">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e99d6d0898497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d974f459714ec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ae5423a85e14b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8d2c6698cc4b2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aa861a7254e5d">
              <w:r>
                <w:rPr>
                  <w:rStyle w:val="Hyperlink"/>
                </w:rPr>
                <w:t xml:space="preserve">National Health Performance Authority, Healthy Communities: Expenditure on after-hours GP attendances, 2012–13</w:t>
              </w:r>
            </w:hyperlink>
          </w:p>
          <w:p>
            <w:pPr>
              <w:pStyle w:val="registration-status"/>
              <w:spacing w:before="0" w:after="0"/>
            </w:pPr>
            <w:hyperlink w:history="true" r:id="Rdf005273efa34b2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64d9d4fabf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620178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cf3f205e6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4d9d4fabf4f31" /><Relationship Type="http://schemas.openxmlformats.org/officeDocument/2006/relationships/header" Target="/word/header1.xml" Id="R8dc88d5036bd4fcf" /><Relationship Type="http://schemas.openxmlformats.org/officeDocument/2006/relationships/settings" Target="/word/settings.xml" Id="R4f68dcaff0ad4fa2" /><Relationship Type="http://schemas.openxmlformats.org/officeDocument/2006/relationships/styles" Target="/word/styles.xml" Id="Rd4fb0990de7d4767" /><Relationship Type="http://schemas.openxmlformats.org/officeDocument/2006/relationships/numbering" Target="/word/numbering.xml" Id="Rddf47f2877d64bd4" /><Relationship Type="http://schemas.openxmlformats.org/officeDocument/2006/relationships/hyperlink" Target="https://meteor.aihw.gov.au/RegistrationAuthority/8" TargetMode="External" Id="Rad298fc2b2dd447e" /><Relationship Type="http://schemas.openxmlformats.org/officeDocument/2006/relationships/hyperlink" Target="https://meteor.aihw.gov.au/content/550329" TargetMode="External" Id="R403ea008d595460b" /><Relationship Type="http://schemas.openxmlformats.org/officeDocument/2006/relationships/hyperlink" Target="https://meteor.aihw.gov.au/RegistrationAuthority/8" TargetMode="External" Id="R9d4dcc372a694fd5" /><Relationship Type="http://schemas.openxmlformats.org/officeDocument/2006/relationships/hyperlink" Target="https://meteor.aihw.gov.au/content/327276" TargetMode="External" Id="R02f72c0a0f51444f" /><Relationship Type="http://schemas.openxmlformats.org/officeDocument/2006/relationships/hyperlink" Target="https://meteor.aihw.gov.au/content/303794" TargetMode="External" Id="R755f762fa4484f9f" /><Relationship Type="http://schemas.openxmlformats.org/officeDocument/2006/relationships/hyperlink" Target="https://meteor.aihw.gov.au/content/394305" TargetMode="External" Id="R6afab163187a4d90" /><Relationship Type="http://schemas.openxmlformats.org/officeDocument/2006/relationships/hyperlink" Target="https://meteor.aihw.gov.au/content/429894" TargetMode="External" Id="R92e7e6b425334f05" /><Relationship Type="http://schemas.openxmlformats.org/officeDocument/2006/relationships/hyperlink" Target="https://meteor.aihw.gov.au/content/394305" TargetMode="External" Id="R3ef28081a5e2488e" /><Relationship Type="http://schemas.openxmlformats.org/officeDocument/2006/relationships/hyperlink" Target="https://meteor.aihw.gov.au/content/556532" TargetMode="External" Id="R1b234bb714544b63" /><Relationship Type="http://schemas.openxmlformats.org/officeDocument/2006/relationships/hyperlink" Target="https://meteor.aihw.gov.au/content/394305" TargetMode="External" Id="Rb64fda18af8d4c62" /><Relationship Type="http://schemas.openxmlformats.org/officeDocument/2006/relationships/hyperlink" Target="https://meteor.aihw.gov.au/content/556549" TargetMode="External" Id="R7ae5e1788cd24f88" /><Relationship Type="http://schemas.openxmlformats.org/officeDocument/2006/relationships/hyperlink" Target="https://meteor.aihw.gov.au/content/394305" TargetMode="External" Id="R2993bce58a174469" /><Relationship Type="http://schemas.openxmlformats.org/officeDocument/2006/relationships/hyperlink" Target="https://meteor.aihw.gov.au/content/388656" TargetMode="External" Id="R4fdebb34b5384308" /><Relationship Type="http://schemas.openxmlformats.org/officeDocument/2006/relationships/hyperlink" Target="https://meteor.aihw.gov.au/content/393625" TargetMode="External" Id="R40fb56cad28e4c51" /><Relationship Type="http://schemas.openxmlformats.org/officeDocument/2006/relationships/hyperlink" Target="https://meteor.aihw.gov.au/content/556549" TargetMode="External" Id="R583a63042a674d35" /><Relationship Type="http://schemas.openxmlformats.org/officeDocument/2006/relationships/hyperlink" Target="https://meteor.aihw.gov.au/content/394305" TargetMode="External" Id="R675d3ff9e20f467c" /><Relationship Type="http://schemas.openxmlformats.org/officeDocument/2006/relationships/hyperlink" Target="https://meteor.aihw.gov.au/content/457293" TargetMode="External" Id="Rff7e5738327d46e2" /><Relationship Type="http://schemas.openxmlformats.org/officeDocument/2006/relationships/hyperlink" Target="https://meteor.aihw.gov.au/content/611088" TargetMode="External" Id="R6c0c6d17027546ed" /><Relationship Type="http://schemas.openxmlformats.org/officeDocument/2006/relationships/hyperlink" Target="https://meteor.aihw.gov.au/content/554927" TargetMode="External" Id="R65e99d6d08984977" /><Relationship Type="http://schemas.openxmlformats.org/officeDocument/2006/relationships/hyperlink" Target="https://meteor.aihw.gov.au/content/393625" TargetMode="External" Id="R0ad974f459714ecf" /><Relationship Type="http://schemas.openxmlformats.org/officeDocument/2006/relationships/hyperlink" Target="https://meteor.aihw.gov.au/content/449216" TargetMode="External" Id="Rbae5423a85e14b9d" /><Relationship Type="http://schemas.openxmlformats.org/officeDocument/2006/relationships/hyperlink" Target="https://meteor.aihw.gov.au/content/394305" TargetMode="External" Id="Rbf8d2c6698cc4b2c" /><Relationship Type="http://schemas.openxmlformats.org/officeDocument/2006/relationships/hyperlink" Target="https://meteor.aihw.gov.au/content/547196" TargetMode="External" Id="R824aa861a7254e5d" /><Relationship Type="http://schemas.openxmlformats.org/officeDocument/2006/relationships/hyperlink" Target="https://meteor.aihw.gov.au/RegistrationAuthority/8" TargetMode="External" Id="Rdf005273efa34b2b" /></Relationships>
</file>

<file path=word/_rels/header1.xml.rels>&#65279;<?xml version="1.0" encoding="utf-8"?><Relationships xmlns="http://schemas.openxmlformats.org/package/2006/relationships"><Relationship Type="http://schemas.openxmlformats.org/officeDocument/2006/relationships/image" Target="/media/image.png" Id="Rf88cf3f205e64357" /></Relationships>
</file>