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e5423066fb44a51" /></Relationships>
</file>

<file path=word/document.xml><?xml version="1.0" encoding="utf-8"?>
<w:document xmlns:r="http://schemas.openxmlformats.org/officeDocument/2006/relationships" xmlns:w="http://schemas.openxmlformats.org/wordprocessingml/2006/main">
  <w:body>
    <w:p>
      <w:pPr>
        <w:pStyle w:val="Title"/>
      </w:pPr>
      <w:r>
        <w:t>Antimicrobial stewardship: 4a-Antibiotic prescribing in accordance with current and peer reviewed clinical guidelines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Antimicrobial stewardship: 4a-Antibiotic prescribing in accordance with current and peer reviewed clinical guidelines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4a-Antibiotic prescribing in accordance with current and peer reviewed clinical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612220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4c8afe4c844976">
              <w:r>
                <w:rPr>
                  <w:rStyle w:val="Hyperlink"/>
                  <w:color w:val="244061"/>
                </w:rPr>
                <w:t xml:space="preserve">Health</w:t>
              </w:r>
            </w:hyperlink>
            <w:r>
              <w:rPr>
                <w:rStyle w:val="row-content"/>
                <w:color w:val="244061"/>
              </w:rPr>
              <w:t xml:space="preserve">, Standard 12/09/2016</w:t>
            </w:r>
          </w:p>
          <w:p>
            <w:pPr>
              <w:spacing w:before="0" w:after="0"/>
            </w:pPr>
            <w:hyperlink w:history="true" r:id="Rf76e81d178f04f55">
              <w:r>
                <w:rPr>
                  <w:rStyle w:val="Hyperlink"/>
                  <w:color w:val="244061"/>
                </w:rPr>
                <w:t xml:space="preserve">Australian Commission on Safety and Quality in Health Care</w:t>
              </w:r>
            </w:hyperlink>
            <w:r>
              <w:rPr>
                <w:rStyle w:val="row-content"/>
                <w:color w:val="244061"/>
              </w:rPr>
              <w:t xml:space="preserve">, Retired 25/01/2022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antibiotic prescriptions that are in accordance with current and peer reviewed clinical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decision to prescribe an antibiotic should always be clinically justified and guided by the latest version of </w:t>
            </w:r>
            <w:r>
              <w:rPr>
                <w:rStyle w:val="row-content-rich-text"/>
                <w:i/>
              </w:rPr>
              <w:t xml:space="preserve">Therapeutic guidelines: </w:t>
            </w:r>
            <w:r>
              <w:rPr>
                <w:rStyle w:val="row-content-rich-text"/>
                <w:i/>
              </w:rPr>
              <w:t xml:space="preserve">antibiotic</w:t>
            </w:r>
            <w:r>
              <w:rPr>
                <w:rStyle w:val="row-content-rich-text"/>
              </w:rPr>
              <w:t xml:space="preserve"> (Antibiotic Expert Group 2014) or locally-endorsed antibiotic prescribing guidelines. This ensures that the correct drug is prescribed, and the dose and duration of therapy are optimised (Duguid &amp; Cruickshank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f42ea14e2c44503">
              <w:r>
                <w:rPr>
                  <w:rStyle w:val="Hyperlink"/>
                </w:rPr>
                <w:t xml:space="preserve">Clinical care standard indicators: antimicrobial stewardship</w:t>
              </w:r>
            </w:hyperlink>
          </w:p>
          <w:p>
            <w:pPr>
              <w:pStyle w:val="registration-status"/>
              <w:spacing w:before="0" w:after="0"/>
            </w:pPr>
            <w:hyperlink w:history="true" r:id="R22e5af166e9a48ab">
              <w:r>
                <w:rPr>
                  <w:rStyle w:val="Hyperlink"/>
                  <w:color w:val="244061"/>
                </w:rPr>
                <w:t xml:space="preserve">Australian Commission on Safety and Quality in Health Care</w:t>
              </w:r>
            </w:hyperlink>
            <w:r>
              <w:rPr>
                <w:rStyle w:val="row-content"/>
                <w:color w:val="244061"/>
              </w:rPr>
              <w:t xml:space="preserve">, Retired 25/01/2022</w:t>
            </w:r>
          </w:p>
          <w:p>
            <w:pPr>
              <w:pStyle w:val="registration-status"/>
              <w:spacing w:before="0" w:after="0"/>
            </w:pPr>
            <w:hyperlink w:history="true" r:id="Rdc323e81067d4ded">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5c1d41e100c4a51">
              <w:r>
                <w:rPr>
                  <w:rStyle w:val="Hyperlink"/>
                </w:rPr>
                <w:t xml:space="preserve">Use of guidelines and clinical condition</w:t>
              </w:r>
            </w:hyperlink>
          </w:p>
          <w:p>
            <w:pPr>
              <w:pStyle w:val="registration-status"/>
              <w:spacing w:before="0" w:after="0"/>
            </w:pPr>
            <w:hyperlink w:history="true" r:id="Rb4cbc1f71d304d91">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numerator and denominator, there may be one or more prescriptions for any one patient during an episode of admitted care. All prescriptions meeting the criteria for the numerator or the denominator should be counted.</w:t>
            </w:r>
          </w:p>
          <w:p>
            <w:pPr>
              <w:spacing w:after="160"/>
            </w:pPr>
            <w:r>
              <w:rPr>
                <w:rStyle w:val="row-content-rich-text"/>
              </w:rPr>
              <w:t xml:space="preserve">For the numerator, 'in accordance' with guidelines means that the prescription aligns with the choice of antimicrobial, dose, route, and frequency, as per the guidelines used.</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prescriptions for an antibiotic that are in accordance with the current version of </w:t>
            </w:r>
            <w:r>
              <w:rPr>
                <w:rStyle w:val="row-content-rich-text"/>
                <w:i/>
              </w:rPr>
              <w:t xml:space="preserve">Therapeutic guidelines: </w:t>
            </w:r>
            <w:r>
              <w:rPr>
                <w:rStyle w:val="row-content-rich-text"/>
                <w:i/>
              </w:rPr>
              <w:t xml:space="preserve">antibiotic</w:t>
            </w:r>
            <w:r>
              <w:rPr>
                <w:rStyle w:val="row-content-rich-text"/>
              </w:rPr>
              <w:t xml:space="preserve"> or locally-endorsed antibiotic prescribing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prescriptions for antibiotics.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a number of existing audit tools where samples of medication charts are assessed for appropriateness and compliance of antimicrobial prescribing against the </w:t>
            </w:r>
            <w:r>
              <w:rPr>
                <w:rStyle w:val="row-content-rich-text"/>
                <w:i/>
              </w:rPr>
              <w:t xml:space="preserve">Therapeutic guidelines: </w:t>
            </w:r>
            <w:r>
              <w:rPr>
                <w:rStyle w:val="row-content-rich-text"/>
                <w:i/>
              </w:rPr>
              <w:t xml:space="preserve">antibiotic</w:t>
            </w:r>
            <w:r>
              <w:rPr>
                <w:rStyle w:val="row-content-rich-text"/>
              </w:rPr>
              <w:t xml:space="preserve">. These include:</w:t>
            </w:r>
          </w:p>
          <w:p>
            <w:pPr>
              <w:pStyle w:val="ListParagraph"/>
              <w:numPr>
                <w:ilvl w:val="0"/>
                <w:numId w:val="2"/>
              </w:numPr>
            </w:pPr>
            <w:r>
              <w:rPr>
                <w:rStyle w:val="row-content-rich-text"/>
              </w:rPr>
              <w:t xml:space="preserve">The National Antimicrobial Prescribing Survey (NAPS)–conducted by the Centre of Research Excellence–National Centre for Antimicrobial Stewardship (NCAS), using a point prevalence survey.</w:t>
            </w:r>
          </w:p>
          <w:p>
            <w:pPr>
              <w:pStyle w:val="ListParagraph"/>
              <w:numPr>
                <w:ilvl w:val="0"/>
                <w:numId w:val="2"/>
              </w:numPr>
            </w:pPr>
            <w:r>
              <w:rPr>
                <w:rStyle w:val="row-content-rich-text"/>
              </w:rPr>
              <w:t xml:space="preserve">​Audits of GP prescribing administered by the National Prescribing Service (NPS) MedicineWise. These include, but are not confined to, antimicrobial prescribing.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Antibiotic Expert Group 2014. Therapeutic guidelines: antibiotic. Version 15. Melbourne: Therapeutic Guidelines Limited.</w:t>
            </w:r>
          </w:p>
          <w:p>
            <w:pPr/>
            <w:r>
              <w:rPr>
                <w:rStyle w:val="row-content-rich-text"/>
              </w:rPr>
              <w:t xml:space="preserve">Duguid M &amp; Cruickshank M (eds) 2011. Antimicrobial stewardship in Australian hospitals. Sydney: Australian Commission on Safety and Quality in Health Care.</w:t>
            </w:r>
          </w:p>
        </w:tc>
      </w:tr>
    </w:tbl>
    <w:p>
      <w:r>
        <w:br/>
      </w:r>
    </w:p>
    <w:sectPr>
      <w:footerReference xmlns:r="http://schemas.openxmlformats.org/officeDocument/2006/relationships" w:type="default" r:id="R7aa299407a0847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612220</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de40b761cc4d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a299407a08471e" /><Relationship Type="http://schemas.openxmlformats.org/officeDocument/2006/relationships/header" Target="/word/header1.xml" Id="R6ba758bb3d524057" /><Relationship Type="http://schemas.openxmlformats.org/officeDocument/2006/relationships/settings" Target="/word/settings.xml" Id="R8b0d0717936b4c85" /><Relationship Type="http://schemas.openxmlformats.org/officeDocument/2006/relationships/styles" Target="/word/styles.xml" Id="R91b98734192d4697" /><Relationship Type="http://schemas.openxmlformats.org/officeDocument/2006/relationships/numbering" Target="/word/numbering.xml" Id="Raa80e24bc72c4164" /><Relationship Type="http://schemas.openxmlformats.org/officeDocument/2006/relationships/hyperlink" Target="https://meteor.aihw.gov.au/RegistrationAuthority/12" TargetMode="External" Id="R844c8afe4c844976" /><Relationship Type="http://schemas.openxmlformats.org/officeDocument/2006/relationships/hyperlink" Target="https://meteor.aihw.gov.au/RegistrationAuthority/18" TargetMode="External" Id="Rf76e81d178f04f55" /><Relationship Type="http://schemas.openxmlformats.org/officeDocument/2006/relationships/hyperlink" Target="https://meteor.aihw.gov.au/content/612216" TargetMode="External" Id="R3f42ea14e2c44503" /><Relationship Type="http://schemas.openxmlformats.org/officeDocument/2006/relationships/hyperlink" Target="https://meteor.aihw.gov.au/RegistrationAuthority/18" TargetMode="External" Id="R22e5af166e9a48ab" /><Relationship Type="http://schemas.openxmlformats.org/officeDocument/2006/relationships/hyperlink" Target="https://meteor.aihw.gov.au/RegistrationAuthority/12" TargetMode="External" Id="Rdc323e81067d4ded" /><Relationship Type="http://schemas.openxmlformats.org/officeDocument/2006/relationships/hyperlink" Target="https://meteor.aihw.gov.au/content/624351" TargetMode="External" Id="R05c1d41e100c4a51" /><Relationship Type="http://schemas.openxmlformats.org/officeDocument/2006/relationships/hyperlink" Target="https://meteor.aihw.gov.au/RegistrationAuthority/12" TargetMode="External" Id="Rb4cbc1f71d304d91" /></Relationships>
</file>

<file path=word/_rels/header1.xml.rels>&#65279;<?xml version="1.0" encoding="utf-8"?><Relationships xmlns="http://schemas.openxmlformats.org/package/2006/relationships"><Relationship Type="http://schemas.openxmlformats.org/officeDocument/2006/relationships/image" Target="/media/image.png" Id="R6dde40b761cc4d37" /></Relationships>
</file>