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c921476c624bd0" /></Relationships>
</file>

<file path=word/document.xml><?xml version="1.0" encoding="utf-8"?>
<w:document xmlns:r="http://schemas.openxmlformats.org/officeDocument/2006/relationships" xmlns:w="http://schemas.openxmlformats.org/wordprocessingml/2006/main">
  <w:body>
    <w:p>
      <w:pPr>
        <w:pStyle w:val="Title"/>
      </w:pPr>
      <w:r>
        <w:t>Acute coronary syndromes: 3c-PCI patients with STEMI with door-to-device within 90 minutes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3c-PCI patients with STEMI with door-to-device within 90 minutes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3c-PCI patients with STEMI with door-to-device within 90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ed14d6acf24cd3">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Acute coronary syndromes clinical care standard (ACSQHC 2014), an ST-segment-elevation myocardial infarction (STEMI) is one type of acute coronary syndrome.  It is when a myocardial infarction is prolonged, leading to more sever..." w:history="true" r:id="R4c7ac4d4316c40bc">
              <w:r>
                <w:rPr>
                  <w:rStyle w:val="Hyperlink"/>
                  <w:b/>
                </w:rPr>
                <w:t xml:space="preserve">ST-segment-elevation myocardial infarction (STEMI)</w:t>
              </w:r>
            </w:hyperlink>
            <w:r>
              <w:rPr>
                <w:rStyle w:val="row-content-rich-text"/>
              </w:rPr>
              <w:t xml:space="preserve"> treated with percutaneous coronary intervention (PCI), who have a door-to-device time of 90 minutes or less, after arrival at a PCI-capable hospital, or 120 minutes or less if transferred from a non PCI-capable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Timely PCI has been shown to improve short-term and long-term outcomes such as a reduction in mortality, myocardial infarctions and strokes in patients with STEMI who present to hospital within 12 hours of symptom onset (Keeley et al. 2003; GUSTO IIb Angioplasty Substudy Investigators 1997).</w:t>
            </w:r>
            <w:r>
              <w:rPr>
                <w:rStyle w:val="row-content-rich-text"/>
                <w:vertAlign w:val="superscript"/>
              </w:rPr>
              <w:t xml:space="preserve"> </w:t>
            </w:r>
            <w:r>
              <w:rPr>
                <w:rStyle w:val="row-content-rich-text"/>
              </w:rPr>
              <w:t xml:space="preserve">The G</w:t>
            </w:r>
            <w:r>
              <w:rPr>
                <w:rStyle w:val="row-content-rich-text"/>
                <w:i/>
              </w:rPr>
              <w:t xml:space="preserve">uidelines for the management of acute coronary syndromes 2006</w:t>
            </w:r>
            <w:r>
              <w:rPr>
                <w:rStyle w:val="row-content-rich-text"/>
              </w:rPr>
              <w:t xml:space="preserve"> state that "</w:t>
            </w:r>
            <w:r>
              <w:rPr>
                <w:rStyle w:val="row-content-rich-text"/>
                <w:i/>
              </w:rPr>
              <w:t xml:space="preserve">a time delay of 90 minutes from first medical contact to balloon inflation is the maximum desirable</w:t>
            </w:r>
            <w:r>
              <w:rPr>
                <w:rStyle w:val="row-content-rich-text"/>
              </w:rPr>
              <w:t xml:space="preserve">" (Acute Coronary Syndrome Guidelines Working Group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cddbcd7a8f43b8">
              <w:r>
                <w:rPr>
                  <w:rStyle w:val="Hyperlink"/>
                </w:rPr>
                <w:t xml:space="preserve">Clinical care standard indicators: acute coronary syndromes</w:t>
              </w:r>
            </w:hyperlink>
          </w:p>
          <w:p>
            <w:pPr>
              <w:pStyle w:val="registration-status"/>
              <w:spacing w:before="0" w:after="0"/>
            </w:pPr>
            <w:hyperlink w:history="true" r:id="R8d86929e61374855">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94f9392330140c8">
              <w:r>
                <w:rPr>
                  <w:rStyle w:val="Hyperlink"/>
                </w:rPr>
                <w:t xml:space="preserve">Timely reperfusion</w:t>
              </w:r>
            </w:hyperlink>
          </w:p>
          <w:p>
            <w:pPr>
              <w:pStyle w:val="registration-status"/>
              <w:spacing w:before="0" w:after="0"/>
            </w:pPr>
            <w:hyperlink w:history="true" r:id="R9a44649a2cdd4b73">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STEMI.</w:t>
            </w:r>
          </w:p>
          <w:p>
            <w:pPr>
              <w:spacing w:after="160"/>
            </w:pPr>
            <w:r>
              <w:rPr>
                <w:rStyle w:val="row-content-rich-text"/>
              </w:rPr>
              <w:t xml:space="preserve">For the numerator, patients undergoing PCI include those for which one of the following </w:t>
            </w:r>
            <w:hyperlink w:history="true" r:id="R7787860421244667">
              <w:r>
                <w:rPr>
                  <w:rStyle w:val="Hyperlink"/>
                </w:rPr>
                <w:t xml:space="preserve">Episode of admitted patient care—procedure, code (ACHI 9th edn) NNNNN-NN</w:t>
              </w:r>
            </w:hyperlink>
            <w:r>
              <w:rPr>
                <w:rStyle w:val="row-content-rich-text"/>
              </w:rPr>
              <w:t xml:space="preserve"> is recorded:</w:t>
            </w:r>
          </w:p>
          <w:p>
            <w:pPr>
              <w:pStyle w:val="ListParagraph"/>
              <w:numPr>
                <w:ilvl w:val="0"/>
                <w:numId w:val="2"/>
              </w:numPr>
            </w:pPr>
            <w:r>
              <w:rPr>
                <w:rStyle w:val="row-content-rich-text"/>
              </w:rPr>
              <w:t xml:space="preserve">38300-00 [670] Percutaneous transluminal balloon angioplasty of 1 coronary artery</w:t>
            </w:r>
          </w:p>
          <w:p>
            <w:pPr>
              <w:pStyle w:val="ListParagraph"/>
              <w:numPr>
                <w:ilvl w:val="0"/>
                <w:numId w:val="2"/>
              </w:numPr>
            </w:pPr>
            <w:r>
              <w:rPr>
                <w:rStyle w:val="row-content-rich-text"/>
              </w:rPr>
              <w:t xml:space="preserve">38303-00 [670] Percutaneous transluminal balloon angioplasty of &gt;=2 coronary arteries</w:t>
            </w:r>
          </w:p>
          <w:p>
            <w:pPr>
              <w:pStyle w:val="ListParagraph"/>
              <w:numPr>
                <w:ilvl w:val="0"/>
                <w:numId w:val="2"/>
              </w:numPr>
            </w:pPr>
            <w:r>
              <w:rPr>
                <w:rStyle w:val="row-content-rich-text"/>
              </w:rPr>
              <w:t xml:space="preserve">38306-00 [671] Percutaneous insertion of 1 transluminal stent into single coronary artery</w:t>
            </w:r>
          </w:p>
          <w:p>
            <w:pPr>
              <w:pStyle w:val="ListParagraph"/>
              <w:numPr>
                <w:ilvl w:val="0"/>
                <w:numId w:val="2"/>
              </w:numPr>
            </w:pPr>
            <w:r>
              <w:rPr>
                <w:rStyle w:val="row-content-rich-text"/>
              </w:rPr>
              <w:t xml:space="preserve">38306-01 [671] Percutaneous insertion of &gt;= 2 transluminal stents into single coronary artery</w:t>
            </w:r>
          </w:p>
          <w:p>
            <w:pPr>
              <w:pStyle w:val="ListParagraph"/>
              <w:numPr>
                <w:ilvl w:val="0"/>
                <w:numId w:val="2"/>
              </w:numPr>
            </w:pPr>
            <w:r>
              <w:rPr>
                <w:rStyle w:val="row-content-rich-text"/>
              </w:rPr>
              <w:t xml:space="preserve">38306-02 [671] Percutaneous insertion of &gt;= 2 transluminal stents into multiple coronary arteries.</w:t>
            </w:r>
          </w:p>
          <w:p>
            <w:pPr>
              <w:spacing w:after="160"/>
            </w:pPr>
            <w:r>
              <w:rPr>
                <w:rStyle w:val="row-content-rich-text"/>
              </w:rPr>
              <w:t xml:space="preserve">The denominator excludes patients for whom PCI is contraindicated (where the contraindication is documented in their medical record). Contraindications for PCI and fibrinolysis may include advance care directives, being on a palliative care pathway, and clinical judgement, subject to discussion with patients, family and carers.</w:t>
            </w:r>
          </w:p>
          <w:p>
            <w:pPr>
              <w:spacing w:after="160"/>
            </w:pPr>
            <w:r>
              <w:rPr>
                <w:rStyle w:val="row-content-rich-text"/>
              </w:rPr>
              <w:t xml:space="preserve">For hospitals using the </w:t>
            </w:r>
            <w:hyperlink w:history="true" r:id="R2868f34357ad4272">
              <w:r>
                <w:rPr>
                  <w:rStyle w:val="Hyperlink"/>
                </w:rPr>
                <w:t xml:space="preserve">Acute coronary syndrome (clinical) National best practice data set</w:t>
              </w:r>
            </w:hyperlink>
            <w:r>
              <w:rPr>
                <w:rStyle w:val="row-content-rich-text"/>
              </w:rPr>
              <w:t xml:space="preserve">, the door-to-device time can be calculated as the difference between the following data elements:</w:t>
            </w:r>
          </w:p>
          <w:p>
            <w:pPr>
              <w:pStyle w:val="ListParagraph"/>
              <w:numPr>
                <w:ilvl w:val="0"/>
                <w:numId w:val="3"/>
              </w:numPr>
            </w:pPr>
            <w:hyperlink w:history="true" r:id="Rb47e8aec68274d1c">
              <w:r>
                <w:rPr>
                  <w:rStyle w:val="Hyperlink"/>
                </w:rPr>
                <w:t xml:space="preserve">Episode of admitted patient care—admission date, DDMMYYYY</w:t>
              </w:r>
            </w:hyperlink>
            <w:r>
              <w:rPr>
                <w:rStyle w:val="row-content-rich-text"/>
              </w:rPr>
              <w:t xml:space="preserve"> combined with </w:t>
            </w:r>
            <w:hyperlink w:history="true" r:id="Ree319e5fb6f644c8">
              <w:r>
                <w:rPr>
                  <w:rStyle w:val="Hyperlink"/>
                </w:rPr>
                <w:t xml:space="preserve">Episode of admitted patient care—admission time, hhmm</w:t>
              </w:r>
            </w:hyperlink>
          </w:p>
          <w:p>
            <w:pPr>
              <w:spacing w:after="160"/>
            </w:pPr>
            <w:r>
              <w:rPr>
                <w:rStyle w:val="row-content-rich-text"/>
              </w:rPr>
              <w:t xml:space="preserve">and</w:t>
            </w:r>
          </w:p>
          <w:p>
            <w:pPr>
              <w:pStyle w:val="ListParagraph"/>
              <w:numPr>
                <w:ilvl w:val="0"/>
                <w:numId w:val="4"/>
              </w:numPr>
            </w:pPr>
            <w:hyperlink w:history="true" r:id="R26cf34582dd745b0">
              <w:r>
                <w:rPr>
                  <w:rStyle w:val="Hyperlink"/>
                </w:rPr>
                <w:t xml:space="preserve">Person—primary percutaneous coronary intervention date, DDMMYYYY</w:t>
              </w:r>
            </w:hyperlink>
            <w:r>
              <w:rPr>
                <w:rStyle w:val="row-content-rich-text"/>
              </w:rPr>
              <w:t xml:space="preserve"> combined with </w:t>
            </w:r>
            <w:hyperlink w:history="true" r:id="R7a1c5a57fdf8466f">
              <w:r>
                <w:rPr>
                  <w:rStyle w:val="Hyperlink"/>
                </w:rPr>
                <w:t xml:space="preserve">Person—primary percutaneous coronary intervention time, hhmm</w:t>
              </w:r>
            </w:hyperlink>
          </w:p>
          <w:p>
            <w:pPr>
              <w:spacing w:after="160"/>
            </w:pPr>
            <w:r>
              <w:rPr>
                <w:rStyle w:val="row-content-rich-text"/>
              </w:rPr>
              <w:t xml:space="preserve">However, this can only be calculated for patients arriving at a PCI-capable hospital. For patients arriving at another hospital and then being transferred to the PCI-capable hospital, the time between the patient's admission at the other facility and transfer and admission to the PCI-capable facility would need to be added to the above time.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treated with PCI, who have a door-to-device time of 90 minutes or less, after arrival at a PCI-capable hospital, or 120 minutes or less if transferred from a non PCI-capable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who arrive at a PCI-capable hospital or are transferred from a non PCI‑capable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this target of 90 minutes is difficult to achieve in the management of patients with STEMI who suffer a cardiac arrest, and for whom advanced resuscitation is effected prior to PCI.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Coronary Syndrome Guidelines Working Group 2006. Guidelines for the management of acute coronary syndromes 2006. Medical Journal of Australia 184(8):S1–S30.</w:t>
            </w:r>
          </w:p>
          <w:p>
            <w:pPr>
              <w:spacing w:after="160"/>
            </w:pPr>
            <w:r>
              <w:rPr>
                <w:rStyle w:val="row-content-rich-text"/>
              </w:rPr>
              <w:t xml:space="preserve">GUSTO IIb Angioplasty Substudy Investigators 1997. A clinical trial comparing primary coronary angioplasty with tissue plasminogen activator for acute myocardial infarction. New England Journal of Medicine 336(23):1621–1628.</w:t>
            </w:r>
          </w:p>
          <w:p>
            <w:pPr/>
            <w:r>
              <w:rPr>
                <w:rStyle w:val="row-content-rich-text"/>
              </w:rPr>
              <w:t xml:space="preserve">Keeley EC, Boura JA, &amp; Grines CL 2003. Primary angioplasty versus intravenous thrombolytic therapy for acute myocardial infarction: a quantitative review of 23 randomised trials. Lancet 361(9351):13–20.</w:t>
            </w:r>
          </w:p>
        </w:tc>
      </w:tr>
    </w:tbl>
    <w:p>
      <w:r>
        <w:br/>
      </w:r>
    </w:p>
    <w:sectPr>
      <w:footerReference xmlns:r="http://schemas.openxmlformats.org/officeDocument/2006/relationships" w:type="default" r:id="Rd9db58a1173e48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612070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a6d81af99b4e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b58a1173e4891" /><Relationship Type="http://schemas.openxmlformats.org/officeDocument/2006/relationships/header" Target="/word/header1.xml" Id="Rcdcc0ff55a0a44c1" /><Relationship Type="http://schemas.openxmlformats.org/officeDocument/2006/relationships/settings" Target="/word/settings.xml" Id="Rf47ebeef9b6c4960" /><Relationship Type="http://schemas.openxmlformats.org/officeDocument/2006/relationships/styles" Target="/word/styles.xml" Id="R0991cbcd6c944493" /><Relationship Type="http://schemas.openxmlformats.org/officeDocument/2006/relationships/numbering" Target="/word/numbering.xml" Id="R0b82b98382f740c0" /><Relationship Type="http://schemas.openxmlformats.org/officeDocument/2006/relationships/hyperlink" Target="https://meteor.aihw.gov.au/RegistrationAuthority/12" TargetMode="External" Id="R0eed14d6acf24cd3" /><Relationship Type="http://schemas.openxmlformats.org/officeDocument/2006/relationships/hyperlink" Target="https://meteor.aihw.gov.au/content/629401" TargetMode="External" Id="R4c7ac4d4316c40bc" /><Relationship Type="http://schemas.openxmlformats.org/officeDocument/2006/relationships/hyperlink" Target="https://meteor.aihw.gov.au/content/612027" TargetMode="External" Id="R14cddbcd7a8f43b8" /><Relationship Type="http://schemas.openxmlformats.org/officeDocument/2006/relationships/hyperlink" Target="https://meteor.aihw.gov.au/RegistrationAuthority/12" TargetMode="External" Id="R8d86929e61374855" /><Relationship Type="http://schemas.openxmlformats.org/officeDocument/2006/relationships/hyperlink" Target="https://meteor.aihw.gov.au/content/624371" TargetMode="External" Id="R194f9392330140c8" /><Relationship Type="http://schemas.openxmlformats.org/officeDocument/2006/relationships/hyperlink" Target="https://meteor.aihw.gov.au/RegistrationAuthority/12" TargetMode="External" Id="R9a44649a2cdd4b73" /><Relationship Type="http://schemas.openxmlformats.org/officeDocument/2006/relationships/hyperlink" Target="https://meteor.aihw.gov.au/content/589101" TargetMode="External" Id="R7787860421244667" /><Relationship Type="http://schemas.openxmlformats.org/officeDocument/2006/relationships/hyperlink" Target="https://meteor.aihw.gov.au/content/621789" TargetMode="External" Id="R2868f34357ad4272" /><Relationship Type="http://schemas.openxmlformats.org/officeDocument/2006/relationships/hyperlink" Target="https://meteor.aihw.gov.au/content/269967" TargetMode="External" Id="Rb47e8aec68274d1c" /><Relationship Type="http://schemas.openxmlformats.org/officeDocument/2006/relationships/hyperlink" Target="https://meteor.aihw.gov.au/content/269972" TargetMode="External" Id="Ree319e5fb6f644c8" /><Relationship Type="http://schemas.openxmlformats.org/officeDocument/2006/relationships/hyperlink" Target="https://meteor.aihw.gov.au/content/359175" TargetMode="External" Id="R26cf34582dd745b0" /><Relationship Type="http://schemas.openxmlformats.org/officeDocument/2006/relationships/hyperlink" Target="https://meteor.aihw.gov.au/content/359201" TargetMode="External" Id="R7a1c5a57fdf8466f" /></Relationships>
</file>

<file path=word/_rels/header1.xml.rels>&#65279;<?xml version="1.0" encoding="utf-8"?><Relationships xmlns="http://schemas.openxmlformats.org/package/2006/relationships"><Relationship Type="http://schemas.openxmlformats.org/officeDocument/2006/relationships/image" Target="/media/image.png" Id="R97a6d81af99b4ef2" /></Relationships>
</file>