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955e51c21b4fd7" /></Relationships>
</file>

<file path=word/document.xml><?xml version="1.0" encoding="utf-8"?>
<w:document xmlns:r="http://schemas.openxmlformats.org/officeDocument/2006/relationships" xmlns:w="http://schemas.openxmlformats.org/wordprocessingml/2006/main">
  <w:body>
    <w:p>
      <w:pPr>
        <w:pStyle w:val="Title"/>
      </w:pPr>
      <w:r>
        <w:t>Acute coronary syndromes: 3a-STEMI patients receiving fibrinolysis or PCI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3a-STEMI patients receiving fibrinolysis or PCI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3a-STEMI patients receiving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0ca2ae28c49b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d52c9e3456054502">
              <w:r>
                <w:rPr>
                  <w:rStyle w:val="Hyperlink"/>
                  <w:b/>
                </w:rPr>
                <w:t xml:space="preserve">ST-segment-elevation myocardial infarction (STEMI) </w:t>
              </w:r>
            </w:hyperlink>
            <w:r>
              <w:rPr>
                <w:rStyle w:val="row-content-rich-text"/>
              </w:rPr>
              <w:t xml:space="preserve">at first emergency contact presenting within 12 hours of symptom onset and receiving fibrinolysis or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Guidelines for the Management of Acute Coronary Syndromes 2006</w:t>
            </w:r>
            <w:r>
              <w:rPr>
                <w:rStyle w:val="row-content-rich-text"/>
                <w:i/>
              </w:rPr>
              <w:t xml:space="preserve"> </w:t>
            </w:r>
            <w:r>
              <w:rPr>
                <w:rStyle w:val="row-content-rich-text"/>
              </w:rPr>
              <w:t xml:space="preserve">recommend that "</w:t>
            </w:r>
            <w:r>
              <w:rPr>
                <w:rStyle w:val="row-content-rich-text"/>
                <w:i/>
              </w:rPr>
              <w:t xml:space="preserve">patients with STEMI who present within 12 hours of the onset of ischaemic symptoms should have a reperfusion strategy implemented promptly</w:t>
            </w:r>
            <w:r>
              <w:rPr>
                <w:rStyle w:val="row-content-rich-text"/>
              </w:rPr>
              <w:t xml:space="preserve">"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356c676fcb4d8e">
              <w:r>
                <w:rPr>
                  <w:rStyle w:val="Hyperlink"/>
                </w:rPr>
                <w:t xml:space="preserve">Clinical care standard indicators: acute coronary syndromes</w:t>
              </w:r>
            </w:hyperlink>
          </w:p>
          <w:p>
            <w:pPr>
              <w:pStyle w:val="registration-status"/>
              <w:spacing w:before="0" w:after="0"/>
            </w:pPr>
            <w:hyperlink w:history="true" r:id="Rd7092409a5be4bbe">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7cffa9836743b5">
              <w:r>
                <w:rPr>
                  <w:rStyle w:val="Hyperlink"/>
                </w:rPr>
                <w:t xml:space="preserve">Timely reperfusion</w:t>
              </w:r>
            </w:hyperlink>
          </w:p>
          <w:p>
            <w:pPr>
              <w:pStyle w:val="registration-status"/>
              <w:spacing w:before="0" w:after="0"/>
            </w:pPr>
            <w:hyperlink w:history="true" r:id="R318efac44b3c4fc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Both the numerator and denominator exclude patients with a diagnosis of left bundle branch block (LBBB). This is where </w:t>
            </w:r>
            <w:hyperlink w:history="true" r:id="R8004e71dde97483e">
              <w:r>
                <w:rPr>
                  <w:rStyle w:val="Hyperlink"/>
                </w:rPr>
                <w:t xml:space="preserve">Episode of care—principal diagnosis, code (ICD-10-AM 9th edn) ANN{.N[N]}</w:t>
              </w:r>
            </w:hyperlink>
            <w:r>
              <w:rPr>
                <w:rStyle w:val="row-content-rich-text"/>
              </w:rPr>
              <w:t xml:space="preserve"> or </w:t>
            </w:r>
            <w:hyperlink w:history="true" r:id="Re73274b956d141ee">
              <w:r>
                <w:rPr>
                  <w:rStyle w:val="Hyperlink"/>
                </w:rPr>
                <w:t xml:space="preserve">Episode of care—additional diagnosis, code (ICD-10-AM 9th edn) ANN{.N[N]}</w:t>
              </w:r>
            </w:hyperlink>
            <w:r>
              <w:rPr>
                <w:rStyle w:val="row-content-rich-text"/>
              </w:rPr>
              <w:t xml:space="preserve"> is one of the following:</w:t>
            </w:r>
          </w:p>
          <w:p>
            <w:pPr>
              <w:pStyle w:val="ListParagraph"/>
              <w:numPr>
                <w:ilvl w:val="0"/>
                <w:numId w:val="2"/>
              </w:numPr>
            </w:pPr>
            <w:r>
              <w:rPr>
                <w:rStyle w:val="row-content-rich-text"/>
              </w:rPr>
              <w:t xml:space="preserve">I44.4 Left anterior fascicular block</w:t>
            </w:r>
          </w:p>
          <w:p>
            <w:pPr>
              <w:pStyle w:val="ListParagraph"/>
              <w:numPr>
                <w:ilvl w:val="0"/>
                <w:numId w:val="2"/>
              </w:numPr>
            </w:pPr>
            <w:r>
              <w:rPr>
                <w:rStyle w:val="row-content-rich-text"/>
              </w:rPr>
              <w:t xml:space="preserve">I44.5 Left posterior fascicular block</w:t>
            </w:r>
          </w:p>
          <w:p>
            <w:pPr>
              <w:pStyle w:val="ListParagraph"/>
              <w:numPr>
                <w:ilvl w:val="0"/>
                <w:numId w:val="2"/>
              </w:numPr>
            </w:pPr>
            <w:r>
              <w:rPr>
                <w:rStyle w:val="row-content-rich-text"/>
              </w:rPr>
              <w:t xml:space="preserve">I44.6 Other and unspecified fascicular block</w:t>
            </w:r>
          </w:p>
          <w:p>
            <w:pPr>
              <w:pStyle w:val="ListParagraph"/>
              <w:numPr>
                <w:ilvl w:val="0"/>
                <w:numId w:val="2"/>
              </w:numPr>
            </w:pPr>
            <w:r>
              <w:rPr>
                <w:rStyle w:val="row-content-rich-text"/>
              </w:rPr>
              <w:t xml:space="preserve">I44.7 Left bundle-branch block, unspecified.</w:t>
            </w:r>
          </w:p>
          <w:p>
            <w:pPr>
              <w:spacing w:after="160"/>
            </w:pPr>
            <w:r>
              <w:rPr>
                <w:rStyle w:val="row-content-rich-text"/>
              </w:rPr>
              <w:t xml:space="preserve">For the numerator, patients undergoing PCI include those for which one of the following </w:t>
            </w:r>
            <w:hyperlink w:history="true" r:id="R2327af10f81241f6">
              <w:r>
                <w:rPr>
                  <w:rStyle w:val="Hyperlink"/>
                </w:rPr>
                <w:t xml:space="preserve">Episode of admitted patient care—procedure, code (ACHI 9th edn) NNNNN-NN</w:t>
              </w:r>
            </w:hyperlink>
            <w:r>
              <w:rPr>
                <w:rStyle w:val="row-content-rich-text"/>
              </w:rPr>
              <w:t xml:space="preserve"> is recorded:</w:t>
            </w:r>
          </w:p>
          <w:p>
            <w:pPr>
              <w:pStyle w:val="ListParagraph"/>
              <w:numPr>
                <w:ilvl w:val="0"/>
                <w:numId w:val="3"/>
              </w:numPr>
            </w:pPr>
            <w:r>
              <w:rPr>
                <w:rStyle w:val="row-content-rich-text"/>
              </w:rPr>
              <w:t xml:space="preserve">38300-00 [670] Percutaneous transluminal balloon angioplasty of 1 coronary artery</w:t>
            </w:r>
          </w:p>
          <w:p>
            <w:pPr>
              <w:pStyle w:val="ListParagraph"/>
              <w:numPr>
                <w:ilvl w:val="0"/>
                <w:numId w:val="3"/>
              </w:numPr>
            </w:pPr>
            <w:r>
              <w:rPr>
                <w:rStyle w:val="row-content-rich-text"/>
              </w:rPr>
              <w:t xml:space="preserve">38303-00 [670] Percutaneous transluminal balloon angioplasty of &gt;=2 coronary arteries</w:t>
            </w:r>
          </w:p>
          <w:p>
            <w:pPr>
              <w:pStyle w:val="ListParagraph"/>
              <w:numPr>
                <w:ilvl w:val="0"/>
                <w:numId w:val="3"/>
              </w:numPr>
            </w:pPr>
            <w:r>
              <w:rPr>
                <w:rStyle w:val="row-content-rich-text"/>
              </w:rPr>
              <w:t xml:space="preserve">38306-00 [671] Percutaneous insertion of 1 transluminal stent into single coronary artery</w:t>
            </w:r>
          </w:p>
          <w:p>
            <w:pPr>
              <w:pStyle w:val="ListParagraph"/>
              <w:numPr>
                <w:ilvl w:val="0"/>
                <w:numId w:val="3"/>
              </w:numPr>
            </w:pPr>
            <w:r>
              <w:rPr>
                <w:rStyle w:val="row-content-rich-text"/>
              </w:rPr>
              <w:t xml:space="preserve">38306-01 [671] Percutaneous insertion of &gt;= 2 transluminal stents into single coronary artery</w:t>
            </w:r>
          </w:p>
          <w:p>
            <w:pPr>
              <w:pStyle w:val="ListParagraph"/>
              <w:numPr>
                <w:ilvl w:val="0"/>
                <w:numId w:val="3"/>
              </w:numPr>
            </w:pPr>
            <w:r>
              <w:rPr>
                <w:rStyle w:val="row-content-rich-text"/>
              </w:rPr>
              <w:t xml:space="preserve">38306-02 [671] Percutaneous insertion of &gt;= 2 transluminal stents into multiple coronary arteries.</w:t>
            </w:r>
          </w:p>
          <w:p>
            <w:pPr>
              <w:spacing w:after="160"/>
            </w:pPr>
            <w:r>
              <w:rPr>
                <w:rStyle w:val="row-content-rich-text"/>
              </w:rPr>
              <w:t xml:space="preserve">Alternatively, for hospitals collecting the </w:t>
            </w:r>
            <w:hyperlink w:history="true" r:id="R6221dd34c21c44bd">
              <w:r>
                <w:rPr>
                  <w:rStyle w:val="Hyperlink"/>
                </w:rPr>
                <w:t xml:space="preserve">Acute coronary syndrome (clinical) National best practice data set</w:t>
              </w:r>
            </w:hyperlink>
            <w:r>
              <w:rPr>
                <w:rStyle w:val="row-content-rich-text"/>
              </w:rPr>
              <w:t xml:space="preserve">, the data element </w:t>
            </w:r>
            <w:hyperlink w:history="true" r:id="Re8ca14cdf8d84009">
              <w:r>
                <w:rPr>
                  <w:rStyle w:val="Hyperlink"/>
                </w:rPr>
                <w:t xml:space="preserve">Person—percutaneous coronary intervention procedure type, code N</w:t>
              </w:r>
            </w:hyperlink>
            <w:r>
              <w:rPr>
                <w:rStyle w:val="row-content-rich-text"/>
              </w:rPr>
              <w:t xml:space="preserve"> can be used, where there is a value of 1 Balloon angioplasty only, 2 Bare metal stent implantation or 3 Drug-eluting stent implantation recorded.</w:t>
            </w:r>
          </w:p>
          <w:p>
            <w:pPr>
              <w:spacing w:after="160"/>
            </w:pPr>
            <w:r>
              <w:rPr>
                <w:rStyle w:val="row-content-rich-text"/>
              </w:rPr>
              <w:t xml:space="preserve">The numerator also includes patients who are administered fibrinolytic drugs. These are not coded using the Australian Classification of Health Interventions (ACHI). However, for hospitals using the </w:t>
            </w:r>
            <w:hyperlink w:history="true" r:id="R52638df5ef6b450c">
              <w:r>
                <w:rPr>
                  <w:rStyle w:val="Hyperlink"/>
                </w:rPr>
                <w:t xml:space="preserve">Acute coronary syndrome (clinical) National best practice data set</w:t>
              </w:r>
            </w:hyperlink>
            <w:r>
              <w:rPr>
                <w:rStyle w:val="row-content-rich-text"/>
              </w:rPr>
              <w:t xml:space="preserve">, the data element </w:t>
            </w:r>
            <w:hyperlink w:history="true" r:id="Rce20097a93284e23">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PCI and fibrinolysis are contraindicated (where the contraindication is documented in their medical record). (For hospitals using the </w:t>
            </w:r>
            <w:hyperlink w:history="true" r:id="Rdee4a04e326f4696">
              <w:r>
                <w:rPr>
                  <w:rStyle w:val="Hyperlink"/>
                </w:rPr>
                <w:t xml:space="preserve">Acute coronary syndrome (clinical) National best practice data set</w:t>
              </w:r>
            </w:hyperlink>
            <w:r>
              <w:t xml:space="preserve">, contraindication for fibrinolytic therapy can be identified using the data element </w:t>
            </w:r>
            <w:hyperlink w:history="true" r:id="Ra835a5c2dafb4e5e">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who receive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3737ba8552f3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612058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5690bef01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7ba8552f34c84" /><Relationship Type="http://schemas.openxmlformats.org/officeDocument/2006/relationships/header" Target="/word/header1.xml" Id="Rdf05879ac9914e9b" /><Relationship Type="http://schemas.openxmlformats.org/officeDocument/2006/relationships/settings" Target="/word/settings.xml" Id="R2fd5317491c54b94" /><Relationship Type="http://schemas.openxmlformats.org/officeDocument/2006/relationships/styles" Target="/word/styles.xml" Id="Rd9765365b3ae4cce" /><Relationship Type="http://schemas.openxmlformats.org/officeDocument/2006/relationships/numbering" Target="/word/numbering.xml" Id="Rd59bd6fc8a354934" /><Relationship Type="http://schemas.openxmlformats.org/officeDocument/2006/relationships/hyperlink" Target="https://meteor.aihw.gov.au/RegistrationAuthority/12" TargetMode="External" Id="R4230ca2ae28c49b5" /><Relationship Type="http://schemas.openxmlformats.org/officeDocument/2006/relationships/hyperlink" Target="https://meteor.aihw.gov.au/content/629401" TargetMode="External" Id="Rd52c9e3456054502" /><Relationship Type="http://schemas.openxmlformats.org/officeDocument/2006/relationships/hyperlink" Target="https://meteor.aihw.gov.au/content/612027" TargetMode="External" Id="Rea356c676fcb4d8e" /><Relationship Type="http://schemas.openxmlformats.org/officeDocument/2006/relationships/hyperlink" Target="https://meteor.aihw.gov.au/RegistrationAuthority/12" TargetMode="External" Id="Rd7092409a5be4bbe" /><Relationship Type="http://schemas.openxmlformats.org/officeDocument/2006/relationships/hyperlink" Target="https://meteor.aihw.gov.au/content/624371" TargetMode="External" Id="Rf47cffa9836743b5" /><Relationship Type="http://schemas.openxmlformats.org/officeDocument/2006/relationships/hyperlink" Target="https://meteor.aihw.gov.au/RegistrationAuthority/12" TargetMode="External" Id="R318efac44b3c4fc2" /><Relationship Type="http://schemas.openxmlformats.org/officeDocument/2006/relationships/hyperlink" Target="https://meteor.aihw.gov.au/content/588987" TargetMode="External" Id="R8004e71dde97483e" /><Relationship Type="http://schemas.openxmlformats.org/officeDocument/2006/relationships/hyperlink" Target="https://meteor.aihw.gov.au/content/588981" TargetMode="External" Id="Re73274b956d141ee" /><Relationship Type="http://schemas.openxmlformats.org/officeDocument/2006/relationships/hyperlink" Target="https://meteor.aihw.gov.au/content/589101" TargetMode="External" Id="R2327af10f81241f6" /><Relationship Type="http://schemas.openxmlformats.org/officeDocument/2006/relationships/hyperlink" Target="https://meteor.aihw.gov.au/content/621789" TargetMode="External" Id="R6221dd34c21c44bd" /><Relationship Type="http://schemas.openxmlformats.org/officeDocument/2006/relationships/hyperlink" Target="https://meteor.aihw.gov.au/content/359751" TargetMode="External" Id="Re8ca14cdf8d84009" /><Relationship Type="http://schemas.openxmlformats.org/officeDocument/2006/relationships/hyperlink" Target="https://meteor.aihw.gov.au/content/621789" TargetMode="External" Id="R52638df5ef6b450c" /><Relationship Type="http://schemas.openxmlformats.org/officeDocument/2006/relationships/hyperlink" Target="https://meteor.aihw.gov.au/content/356870" TargetMode="External" Id="Rce20097a93284e23" /><Relationship Type="http://schemas.openxmlformats.org/officeDocument/2006/relationships/hyperlink" Target="https://meteor.aihw.gov.au/content/621789" TargetMode="External" Id="Rdee4a04e326f4696" /><Relationship Type="http://schemas.openxmlformats.org/officeDocument/2006/relationships/hyperlink" Target="https://meteor.aihw.gov.au/content/347222" TargetMode="External" Id="Ra835a5c2dafb4e5e" /></Relationships>
</file>

<file path=word/_rels/header1.xml.rels>&#65279;<?xml version="1.0" encoding="utf-8"?><Relationships xmlns="http://schemas.openxmlformats.org/package/2006/relationships"><Relationship Type="http://schemas.openxmlformats.org/officeDocument/2006/relationships/image" Target="/media/image.png" Id="Rdce5690bef014773" /></Relationships>
</file>