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a5b11b98e941f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06—Under five mortality rate by leading cause,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68d55cac954704">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children aged less than five years, by leading causes of death (ICD-10 chapter level), by Indigenous status.</w:t>
            </w:r>
          </w:p>
          <w:p>
            <w:pPr/>
            <w:r>
              <w:rPr>
                <w:rStyle w:val="row-content-rich-text"/>
              </w:rPr>
              <w:t xml:space="preserve">The Australian Bureau of Statistics (ABS) data for this indicator are for perinatal mortality, infant mortality (0–&lt;1 year),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w:t>
            </w:r>
            <w:r>
              <w:rPr>
                <w:rStyle w:val="row-content-rich-text"/>
                <w:i/>
              </w:rPr>
              <w:t xml:space="preserve">'Closing the Gap'</w:t>
            </w:r>
            <w:r>
              <w:rPr>
                <w:rStyle w:val="row-content-rich-text"/>
              </w:rPr>
              <w:t xml:space="preserve"> indicator of halving the gap in mortality rates between Indigenous and non-Indigenous children aged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59c577a9b254880">
              <w:r>
                <w:rPr>
                  <w:rStyle w:val="Hyperlink"/>
                </w:rPr>
                <w:t xml:space="preserve">National Indigenous Reform Agreement (2016)</w:t>
              </w:r>
            </w:hyperlink>
          </w:p>
          <w:p>
            <w:pPr>
              <w:spacing w:before="0" w:after="0"/>
            </w:pPr>
            <w:r>
              <w:rPr>
                <w:rStyle w:val="row-content"/>
                <w:color w:val="244061"/>
              </w:rPr>
              <w:t xml:space="preserve">       </w:t>
            </w:r>
            <w:hyperlink w:history="true" r:id="R89f033ae461b4ab6">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2445bf8858c4f68">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e3dac1134a0640f4">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All fetal deaths of at least 20 completed weeks' gestation or at least 400 grams birthweight, and all live-born babies who died within 28 days of birth (refer to definition under Computation)</w:t>
            </w:r>
          </w:p>
          <w:p>
            <w:pPr>
              <w:pStyle w:val="ListParagraph"/>
              <w:numPr>
                <w:ilvl w:val="0"/>
                <w:numId w:val="2"/>
              </w:numPr>
            </w:pPr>
            <w:r>
              <w:rPr>
                <w:rStyle w:val="row-content-rich-text"/>
              </w:rPr>
              <w:t xml:space="preserve">For infants: Live births, from birth to less than 1 year of age</w:t>
            </w:r>
          </w:p>
          <w:p>
            <w:pPr>
              <w:pStyle w:val="ListParagraph"/>
              <w:numPr>
                <w:ilvl w:val="0"/>
                <w:numId w:val="2"/>
              </w:numPr>
            </w:pPr>
            <w:r>
              <w:rPr>
                <w:rStyle w:val="row-content-rich-text"/>
              </w:rPr>
              <w:t xml:space="preserve">For children aged 1–4 years: population from 1 year of age to less than 5 years of age</w:t>
            </w:r>
          </w:p>
          <w:p>
            <w:pPr>
              <w:pStyle w:val="ListParagraph"/>
              <w:numPr>
                <w:ilvl w:val="0"/>
                <w:numId w:val="2"/>
              </w:numPr>
            </w:pPr>
            <w:r>
              <w:rPr>
                <w:rStyle w:val="row-content-rich-text"/>
              </w:rPr>
              <w:t xml:space="preserve">For children aged 0–4 years: population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 Australians.</w:t>
            </w:r>
          </w:p>
          <w:p>
            <w:pPr>
              <w:spacing w:after="160"/>
            </w:pPr>
            <w:r>
              <w:rPr>
                <w:rStyle w:val="row-content-rich-text"/>
              </w:rPr>
              <w:t xml:space="preserve">For children aged 1–4 years and children aged 0–4 years:</w:t>
            </w:r>
          </w:p>
          <w:p>
            <w:pPr>
              <w:pStyle w:val="ListParagraph"/>
              <w:numPr>
                <w:ilvl w:val="0"/>
                <w:numId w:val="3"/>
              </w:numPr>
            </w:pPr>
            <w:r>
              <w:rPr>
                <w:rStyle w:val="row-content-rich-text"/>
              </w:rPr>
              <w:t xml:space="preserve">Rates for single year use single year for numerator and average of three years (with reference year as middle year) for denominator.</w:t>
            </w:r>
          </w:p>
          <w:p>
            <w:pPr>
              <w:pStyle w:val="ListParagraph"/>
              <w:numPr>
                <w:ilvl w:val="0"/>
                <w:numId w:val="3"/>
              </w:numPr>
            </w:pPr>
            <w:r>
              <w:rPr>
                <w:rStyle w:val="row-content-rich-text"/>
              </w:rPr>
              <w:t xml:space="preserve">Rates for five years combined use average of five years for numerator and denominator.</w:t>
            </w:r>
          </w:p>
          <w:p>
            <w:pPr>
              <w:spacing w:after="160"/>
            </w:pPr>
            <w:r>
              <w:rPr>
                <w:rStyle w:val="row-content-rich-text"/>
              </w:rPr>
              <w:t xml:space="preserve">Variability bands are to be calculated for rates (single year and national data for 5 years combined) using the standard method (see definition below).</w:t>
            </w:r>
          </w:p>
          <w:p>
            <w:pPr>
              <w:spacing w:after="160"/>
            </w:pPr>
            <w:r>
              <w:rPr>
                <w:rStyle w:val="row-content-rich-text"/>
              </w:rPr>
              <w:t xml:space="preserve">Reporting is only for those jurisdictions which have adequate levels of Indigenous identification (NSW, Qld, WA, SA and the NT from 1998).</w:t>
            </w:r>
          </w:p>
          <w:p>
            <w:pPr>
              <w:spacing w:after="160"/>
            </w:pPr>
            <w:r>
              <w:rPr>
                <w:rStyle w:val="row-content-rich-text"/>
              </w:rPr>
              <w:t xml:space="preserve">For trends: Percentage change and statistical significance of change are to be calculated (required for assessment of progress against targets).</w:t>
            </w:r>
          </w:p>
          <w:p>
            <w:pPr>
              <w:spacing w:after="160"/>
            </w:pPr>
            <w:r>
              <w:rPr>
                <w:rStyle w:val="row-content-rich-text"/>
              </w:rPr>
              <w:t xml:space="preserve">Excludes deaths where Indigenous status was not stated.</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rPr>
              <w:t xml:space="preserve">Presentation:</w:t>
            </w:r>
          </w:p>
          <w:p>
            <w:pPr>
              <w:spacing w:after="160"/>
            </w:pPr>
            <w:r>
              <w:rPr>
                <w:rStyle w:val="row-content-rich-text"/>
              </w:rPr>
              <w:t xml:space="preserve">Number, percentage; rate per 1,000 of all births (perinatal), rate per 1,000 live births (infant), rate per 100,000 population (children 1–4 years and children 0–4 years), rate ratio, rate difference and variability bands.</w:t>
            </w:r>
          </w:p>
          <w:p>
            <w:pPr>
              <w:spacing w:after="160"/>
            </w:pPr>
            <w:r>
              <w:rPr>
                <w:rStyle w:val="row-content-rich-text"/>
              </w:rPr>
              <w:t xml:space="preserve">Note: causes of death to be listed from highest to lowest Indigenous percentage.</w:t>
            </w:r>
          </w:p>
          <w:p>
            <w:pPr>
              <w:spacing w:after="160"/>
            </w:pPr>
            <w:r>
              <w:rPr>
                <w:rStyle w:val="row-content-rich-text"/>
                <w:u w:val="single"/>
              </w:rPr>
              <w:t xml:space="preserve">Definitions:</w:t>
            </w:r>
          </w:p>
          <w:p>
            <w:pPr>
              <w:spacing w:after="160"/>
            </w:pPr>
            <w:r>
              <w:rPr>
                <w:rStyle w:val="row-content-rich-text"/>
                <w:u w:val="single"/>
              </w:rPr>
              <w:t xml:space="preserve">'Standard method’ for variability band computation:</w:t>
            </w:r>
          </w:p>
          <w:p>
            <w:pPr>
              <w:spacing w:after="160"/>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‘Statistical methods in cancer research’.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 that is, there is no systematic bias.</w:t>
            </w:r>
          </w:p>
          <w:p>
            <w:pPr>
              <w:spacing w:after="160"/>
            </w:pPr>
            <w:r>
              <w:rPr>
                <w:rStyle w:val="row-content-rich-text"/>
              </w:rPr>
              <w:t xml:space="preserve">‘Perinatal mortality’ is defined as death of an infant within 28 days of birth (neonatal death) or of a fetus (unborn child) of at least 20 completed weeks of gestation or with a birthweight of at least 400 grams.</w:t>
            </w:r>
          </w:p>
          <w:p>
            <w:pPr>
              <w:spacing w:after="160"/>
            </w:pPr>
            <w:r>
              <w:rPr>
                <w:rStyle w:val="row-content-rich-text"/>
              </w:rPr>
              <w:t xml:space="preserve">Aboriginal and Torres Strait Islander Health Performance Framework ‘Leading causes of death’ are classified using ICD-10 codes as follows:</w:t>
            </w:r>
          </w:p>
          <w:p>
            <w:pPr>
              <w:spacing w:after="160"/>
            </w:pPr>
            <w:r>
              <w:rPr>
                <w:rStyle w:val="row-content-rich-text"/>
                <w:u w:val="single"/>
              </w:rPr>
              <w:t xml:space="preserve">Perinatal mortality:</w:t>
            </w:r>
          </w:p>
          <w:p>
            <w:pPr>
              <w:spacing w:after="160"/>
            </w:pPr>
            <w:r>
              <w:rPr>
                <w:rStyle w:val="row-content-rich-text"/>
              </w:rPr>
              <w:t xml:space="preserve">Main condition in the fetus/infant:</w:t>
            </w:r>
          </w:p>
          <w:p>
            <w:pPr>
              <w:spacing w:after="160"/>
            </w:pPr>
            <w:r>
              <w:rPr>
                <w:rStyle w:val="row-content-rich-text"/>
              </w:rPr>
              <w:t xml:space="preserve">Other conditions originating in the perinatal period (P10–P15 and P50–P96); Disorders related to length of gestation and fetal growth (P05–P08); Congenital malformations, deformations and chromosomal abnormalities (Q00–Q99); Respiratory and cardiovascular disorders specific to the perinatal period (P20–P29); Infections specific to the perinatal period (P35–P39); Other conditions; Total deaths.</w:t>
            </w:r>
          </w:p>
          <w:p>
            <w:pPr>
              <w:spacing w:after="160"/>
            </w:pPr>
            <w:r>
              <w:rPr>
                <w:rStyle w:val="row-content-rich-text"/>
              </w:rPr>
              <w:t xml:space="preserve">Main condition in the mother, fetus and newborn affected by:</w:t>
            </w:r>
          </w:p>
          <w:p>
            <w:pPr>
              <w:spacing w:after="160"/>
            </w:pPr>
            <w:r>
              <w:rPr>
                <w:rStyle w:val="row-content-rich-text"/>
              </w:rPr>
              <w:t xml:space="preserve">Complications of placenta, cord and membranes (P02); Maternal complications of pregnancy (P01); Maternal conditions that may be unrelated to present pregnancy (P00); Other complications of labour and delivery and noxious influences transmitted via placenta or breast milk (P03–P04); Total deaths.</w:t>
            </w:r>
          </w:p>
          <w:p>
            <w:pPr>
              <w:spacing w:after="160"/>
            </w:pPr>
            <w:r>
              <w:rPr>
                <w:rStyle w:val="row-content-rich-text"/>
                <w:u w:val="single"/>
              </w:rPr>
              <w:t xml:space="preserve">Infant mortality:</w:t>
            </w:r>
          </w:p>
          <w:p>
            <w:pPr>
              <w:spacing w:after="160"/>
            </w:pPr>
            <w:r>
              <w:rPr>
                <w:rStyle w:val="row-content-rich-text"/>
              </w:rPr>
              <w:t xml:space="preserve">Certain conditions originating in the perinatal period (P00–P96); Congenital malformations, deformations and chromosomal abnormalities (Q00–Q99); Symptoms, signs and abnormal clinical and laboratory findings, not elsewhere classified (R00–R99); Sudden infant death syndrome (R95);  Injury and poisoning (V01–Y98); Diseases of the respiratory system (J00–J99); Diseases of the circulatory system (I00–I99); Certain infectious and parasitic diseases (A00–B99); Other causes; All causes.</w:t>
            </w:r>
          </w:p>
          <w:p>
            <w:pPr>
              <w:spacing w:after="160"/>
            </w:pPr>
            <w:r>
              <w:rPr>
                <w:rStyle w:val="row-content-rich-text"/>
                <w:u w:val="single"/>
              </w:rPr>
              <w:t xml:space="preserve">Child 1-4 mortality:</w:t>
            </w:r>
          </w:p>
          <w:p>
            <w:pPr>
              <w:spacing w:after="160"/>
            </w:pPr>
            <w:r>
              <w:rPr>
                <w:rStyle w:val="row-content-rich-text"/>
              </w:rPr>
              <w:t xml:space="preserve">Injury and poisoning (V01–Y98); Diseases of the respiratory system (J00–J99); Congenital malformations, deformations and chromosomal abnormalities (Q00–Q99); Diseases of the nervous system (G00–G99); Diseases of the circulatory system (I00–I99); Certain infectious and parasitic diseases (A00–B99); Certain conditions originating in the perinatal period (P00–P96); Symptoms, signs and abnormal clinical and laboratory findings, not elsewhere classified (R00–R99); Other causes; All causes.</w:t>
            </w:r>
          </w:p>
          <w:p>
            <w:pPr>
              <w:spacing w:after="160"/>
            </w:pPr>
            <w:r>
              <w:rPr>
                <w:rStyle w:val="row-content-rich-text"/>
                <w:u w:val="single"/>
              </w:rPr>
              <w:t xml:space="preserve">Child 0-4 mortality:</w:t>
            </w:r>
          </w:p>
          <w:p>
            <w:pPr/>
            <w:r>
              <w:rPr>
                <w:rStyle w:val="row-content-rich-text"/>
              </w:rPr>
              <w:t xml:space="preserve">Certain conditions originating in the perinatal period (P00–P96); Congenital malformations, deformations and chromosomal abnormalities (Q00–Q99); Symptoms, signs and abnormal clinical and laboratory findings, not elsewhere classified (R00–R99); Injury and poisoning (V01–Y98); Diseases of the respiratory system (J00–J99); Diseases of the circulatory system (I00–I99); Diseases of the nervous system (G00–G99); Certain infectious and parasitic diseases (A00–B99); Other causes; All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Perinatal and infant mortality rates</w:t>
            </w:r>
            <w:r>
              <w:rPr>
                <w:rStyle w:val="row-content-rich-text"/>
              </w:rPr>
              <w:t xml:space="preserve">: 1000 x (Numerator ÷ Denominator).</w:t>
            </w:r>
          </w:p>
          <w:p>
            <w:pPr>
              <w:spacing w:after="160"/>
            </w:pPr>
            <w:r>
              <w:rPr>
                <w:rStyle w:val="row-content-rich-text"/>
                <w:u w:val="single"/>
              </w:rPr>
              <w:t xml:space="preserve">Children 1–4 and 0–4 mortality rates</w:t>
            </w:r>
            <w:r>
              <w:rPr>
                <w:rStyle w:val="row-content-rich-text"/>
              </w:rPr>
              <w:t xml:space="preserve">: 100,000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u w:val="single"/>
              </w:rPr>
              <w:t xml:space="preserve">Crude rate:</w:t>
            </w:r>
          </w:p>
          <w:p>
            <w:pPr>
              <w:spacing w:after="160"/>
            </w:pPr>
            <w:r>
              <w:rPr>
                <w:rStyle w:val="row-content-rich-text"/>
              </w:rPr>
              <w:t xml:space="preserve"> </w:t>
            </w:r>
          </w:p>
          <w:p>
            <w:pPr>
              <w:spacing w:after="160"/>
            </w:pPr>
            <w:r>
              <w:rPr>
                <w:rStyle w:val="row-content-rich-text"/>
              </w:rPr>
              <w:t xml:space="preserve"> </w:t>
            </w:r>
          </w:p>
          <w:p>
            <w:r>
              <w:drawing>
                <wp:inline xmlns:wp="http://schemas.openxmlformats.org/drawingml/2006/wordprocessingDrawing" distT="0" distB="0" distL="0" distR="0">
                  <wp:extent cx="3095625" cy="7429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e33ea10edd94299"/>
                          <a:srcRect/>
                          <a:stretch>
                            <a:fillRect/>
                          </a:stretch>
                        </pic:blipFill>
                        <pic:spPr bwMode="auto">
                          <a:xfrm>
                            <a:off x="0" y="0"/>
                            <a:ext cx="3095625" cy="742950"/>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CR = crude rate</w:t>
            </w:r>
          </w:p>
          <w:p>
            <w:pPr>
              <w:spacing w:after="160"/>
            </w:pPr>
            <w:r>
              <w:rPr>
                <w:rStyle w:val="row-content-rich-text"/>
                <w:i/>
              </w:rPr>
              <w:t xml:space="preserve">p</w:t>
            </w:r>
            <w:r>
              <w:rPr>
                <w:rStyle w:val="row-content-rich-text"/>
              </w:rPr>
              <w:t xml:space="preserve"> = mortality rate</w:t>
            </w:r>
          </w:p>
          <w:p>
            <w:pPr>
              <w:spacing w:after="160"/>
            </w:pPr>
            <w:r>
              <w:rPr>
                <w:rStyle w:val="row-content-rich-text"/>
                <w:i/>
              </w:rPr>
              <w:t xml:space="preserve">q</w:t>
            </w:r>
            <w:r>
              <w:rPr>
                <w:rStyle w:val="row-content-rich-text"/>
              </w:rPr>
              <w:t xml:space="preserve"> = 1-</w:t>
            </w:r>
            <w:r>
              <w:rPr>
                <w:rStyle w:val="row-content-rich-text"/>
                <w:i/>
              </w:rPr>
              <w:t xml:space="preserve">p</w:t>
            </w:r>
          </w:p>
          <w:p>
            <w:pPr>
              <w:spacing w:after="160"/>
            </w:pPr>
            <w:r>
              <w:rPr>
                <w:rStyle w:val="row-content-rich-text"/>
                <w:i/>
              </w:rPr>
              <w:t xml:space="preserve">n</w:t>
            </w:r>
            <w:r>
              <w:rPr>
                <w:rStyle w:val="row-content-rich-text"/>
              </w:rPr>
              <w:t xml:space="preserve"> = denominator used to calculate mortality rate.</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 CI(x)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SE(x)</w:t>
            </w:r>
          </w:p>
          <w:p>
            <w:pPr>
              <w:spacing w:after="160"/>
            </w:pPr>
            <w:r>
              <w:rPr>
                <w:rStyle w:val="row-content-rich-text"/>
              </w:rPr>
              <w:t xml:space="preserve">where x is the average annual change (slope estimate).</w:t>
            </w:r>
          </w:p>
          <w:p>
            <w:pPr>
              <w:spacing w:after="160"/>
            </w:pPr>
            <w:r>
              <w:rPr>
                <w:rStyle w:val="row-content-rich-text"/>
              </w:rPr>
              <w:t xml:space="preserve">If the upper and lower 95% confidence intervals do not include zero, then it can be concluded that there is statistical evidence of an increasing or decreasing trend in the data over the study period.</w:t>
            </w:r>
          </w:p>
          <w:p>
            <w:pPr>
              <w:spacing w:after="160"/>
            </w:pPr>
            <w:r>
              <w:rPr>
                <w:rStyle w:val="row-content-rich-text"/>
                <w:u w:val="single"/>
              </w:rPr>
              <w:t xml:space="preserve">Definitions</w:t>
            </w:r>
            <w:r>
              <w:rPr>
                <w:rStyle w:val="row-content-rich-text"/>
              </w:rPr>
              <w:t xml:space="preserve">:</w:t>
            </w:r>
          </w:p>
          <w:p>
            <w:pPr/>
            <w:r>
              <w:rPr>
                <w:rStyle w:val="row-content-rich-text"/>
              </w:rPr>
              <w:t xml:space="preserve">‘Perinatal mortality’ is defined by the ABS as death of a baby within 28 days of birth (neonatal death) or of a fetus (unborn child) of at least 20 completed weeks of gestation or with a birthweight of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(fetal and neo-natal)</w:t>
            </w:r>
          </w:p>
          <w:p>
            <w:pPr>
              <w:spacing w:after="160"/>
            </w:pPr>
            <w:r>
              <w:rPr>
                <w:rStyle w:val="row-content-rich-text"/>
              </w:rPr>
              <w:t xml:space="preserve">Infant: Number of deaths among children aged less than 1 year</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6b62558e5f04fbe">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e5591436c4394fce">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death</w:t>
            </w:r>
          </w:p>
          <w:p>
            <w:r>
              <w:rPr>
                <w:rStyle w:val="row-content"/>
              </w:rPr>
              <w:t xml:space="preserve"> </w:t>
            </w:r>
          </w:p>
          <w:p>
            <w:r>
              <w:rPr>
                <w:rStyle w:val="row-content"/>
                <w:b/>
              </w:rPr>
              <w:t xml:space="preserve">Data Source</w:t>
            </w:r>
          </w:p>
          <w:p>
            <w:hyperlink w:history="true" r:id="Rb91073f77e484305">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Birth—birth status</w:t>
            </w:r>
          </w:p>
          <w:p>
            <w:r>
              <w:rPr>
                <w:rStyle w:val="row-content"/>
              </w:rPr>
              <w:t xml:space="preserve"> </w:t>
            </w:r>
          </w:p>
          <w:p>
            <w:r>
              <w:rPr>
                <w:rStyle w:val="row-content"/>
                <w:b/>
              </w:rPr>
              <w:t xml:space="preserve">Data Source</w:t>
            </w:r>
          </w:p>
          <w:p>
            <w:hyperlink w:history="true" r:id="R58816dcc76d446e0">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fetal and neonatal deaths</w:t>
            </w:r>
          </w:p>
          <w:p>
            <w:r>
              <w:rPr>
                <w:rStyle w:val="row-content"/>
              </w:rPr>
              <w:t xml:space="preserve"> </w:t>
            </w:r>
          </w:p>
          <w:p>
            <w:r>
              <w:rPr>
                <w:rStyle w:val="row-content"/>
                <w:b/>
              </w:rPr>
              <w:t xml:space="preserve">Data Source</w:t>
            </w:r>
          </w:p>
          <w:p>
            <w:hyperlink w:history="true" r:id="Ra1541bd9559f46f1">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birthweight of at least 400 grams).</w:t>
            </w:r>
          </w:p>
          <w:p>
            <w:pPr>
              <w:spacing w:after="160"/>
            </w:pPr>
            <w:r>
              <w:rPr>
                <w:rStyle w:val="row-content-rich-text"/>
              </w:rPr>
              <w:t xml:space="preserve">Infant: Number of registered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Birth—birth status</w:t>
            </w:r>
          </w:p>
          <w:p>
            <w:r>
              <w:rPr>
                <w:rStyle w:val="row-content"/>
              </w:rPr>
              <w:t xml:space="preserve"> </w:t>
            </w:r>
          </w:p>
          <w:p>
            <w:r>
              <w:rPr>
                <w:rStyle w:val="row-content"/>
                <w:b/>
              </w:rPr>
              <w:t xml:space="preserve">Data Source</w:t>
            </w:r>
          </w:p>
          <w:p>
            <w:hyperlink w:history="true" r:id="R30fd13f25a1249ff">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4a7d917d2134377">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Census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dbc45ca184284817">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Estimated resident population (ERP) is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62e973c8ab946cb">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Indigenous population data are derived from Census, Census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769342154108443d">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Indigenous population data are derived from Census, Census PES and estimates of fertility, mortality, net migration etc.</w:t>
            </w:r>
          </w:p>
          <w:p>
            <w:r>
              <w:rPr>
                <w:rStyle w:val="row-content"/>
              </w:rPr>
              <w:t xml:space="preserve">Child 1–4 and 0–4 years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(NSW, Qld, WA, SA and the NT from 1998).</w:t>
            </w:r>
          </w:p>
          <w:p>
            <w:pPr>
              <w:spacing w:after="160"/>
            </w:pPr>
            <w:r>
              <w:rPr>
                <w:rStyle w:val="row-content-rich-text"/>
                <w:b/>
              </w:rPr>
              <w:t xml:space="preserve">Current period:</w:t>
            </w:r>
            <w:r>
              <w:rPr>
                <w:rStyle w:val="row-content-rich-text"/>
              </w:rPr>
              <w:t xml:space="preserve"> Five-year aggregate:</w:t>
            </w:r>
          </w:p>
          <w:p>
            <w:pPr>
              <w:spacing w:after="160"/>
            </w:pPr>
            <w:r>
              <w:rPr>
                <w:rStyle w:val="row-content-rich-text"/>
              </w:rPr>
              <w:t xml:space="preserve">2009–2013 (perinatal, infant, child 1–4 years, and child 0–4 years by causes of death, and perinatal all causes of death).</w:t>
            </w:r>
          </w:p>
          <w:p>
            <w:pPr>
              <w:spacing w:after="160"/>
            </w:pPr>
            <w:r>
              <w:rPr>
                <w:rStyle w:val="row-content-rich-text"/>
              </w:rPr>
              <w:t xml:space="preserve">2010–2014 (infant, child 1–4 years, child 0–4 years all causes of death).</w:t>
            </w:r>
          </w:p>
          <w:p>
            <w:pPr>
              <w:spacing w:after="160"/>
            </w:pPr>
            <w:r>
              <w:rPr>
                <w:rStyle w:val="row-content-rich-text"/>
              </w:rPr>
              <w:t xml:space="preserve"> </w:t>
            </w:r>
          </w:p>
          <w:p>
            <w:pPr>
              <w:spacing w:after="160"/>
            </w:pPr>
            <w:r>
              <w:rPr>
                <w:rStyle w:val="row-content-rich-text"/>
              </w:rPr>
              <w:t xml:space="preserve">For Indigenous and non-Indigenous (numbers, rates, percentage, rate ratios, rate differences, variability bands):</w:t>
            </w:r>
          </w:p>
          <w:p>
            <w:pPr>
              <w:spacing w:after="160"/>
            </w:pPr>
            <w:r>
              <w:rPr>
                <w:rStyle w:val="row-content-rich-text"/>
              </w:rPr>
              <w:t xml:space="preserve"> </w:t>
            </w:r>
          </w:p>
          <w:p>
            <w:pPr>
              <w:pStyle w:val="ListParagraph"/>
              <w:numPr>
                <w:ilvl w:val="0"/>
                <w:numId w:val="5"/>
              </w:numPr>
            </w:pPr>
            <w:r>
              <w:rPr>
                <w:rStyle w:val="row-content-rich-text"/>
              </w:rPr>
              <w:t xml:space="preserve">Total (selected states/territories) by leading cause of death including total (ICD-10 chapter level and some sub-chapter level) by age group (perinatal, infant, child 1–4 years, and child 0–4 years).</w:t>
            </w:r>
          </w:p>
          <w:p>
            <w:pPr>
              <w:pStyle w:val="ListParagraph"/>
              <w:numPr>
                <w:ilvl w:val="0"/>
                <w:numId w:val="5"/>
              </w:numPr>
            </w:pPr>
            <w:r>
              <w:rPr>
                <w:rStyle w:val="row-content-rich-text"/>
              </w:rPr>
              <w:t xml:space="preserve">Total (selected states/territories) by age group (infant, child 1–4 years, and child 0–4 years): all causes of death.</w:t>
            </w:r>
          </w:p>
          <w:p>
            <w:pPr>
              <w:pStyle w:val="ListParagraph"/>
              <w:numPr>
                <w:ilvl w:val="0"/>
                <w:numId w:val="5"/>
              </w:numPr>
            </w:pPr>
            <w:r>
              <w:rPr>
                <w:rStyle w:val="row-content-rich-text"/>
              </w:rPr>
              <w:t xml:space="preserve">State/territory (including total) by age group (infant, child 1–4 years, and child 0–4 years): all causes of death.</w:t>
            </w:r>
          </w:p>
          <w:p>
            <w:pPr>
              <w:spacing w:after="160"/>
            </w:pPr>
            <w:r>
              <w:rPr>
                <w:rStyle w:val="row-content-rich-text"/>
              </w:rPr>
              <w:t xml:space="preserve">For Indigenous and non-Indigenous (numbers, rates, rate ratios, and rate differences):</w:t>
            </w:r>
          </w:p>
          <w:p>
            <w:pPr>
              <w:pStyle w:val="ListParagraph"/>
              <w:numPr>
                <w:ilvl w:val="0"/>
                <w:numId w:val="6"/>
              </w:numPr>
            </w:pPr>
            <w:r>
              <w:rPr>
                <w:rStyle w:val="row-content-rich-text"/>
              </w:rPr>
              <w:t xml:space="preserve">State/territory (including total) by age group (perinatal (fetal, neonatal and total perinatal), infant, child 1–4 years and child 0–4 years).</w:t>
            </w:r>
          </w:p>
          <w:p>
            <w:pPr>
              <w:pStyle w:val="ListParagraph"/>
              <w:numPr>
                <w:ilvl w:val="0"/>
                <w:numId w:val="6"/>
              </w:numPr>
            </w:pPr>
            <w:r>
              <w:rPr>
                <w:rStyle w:val="row-content-rich-text"/>
              </w:rPr>
              <w:t xml:space="preserve">Total (selected states/territories) by age group (infant, child 1–4 years, and child 0–4 years): all causes of death.</w:t>
            </w:r>
          </w:p>
          <w:p>
            <w:pPr>
              <w:pStyle w:val="ListParagraph"/>
              <w:numPr>
                <w:ilvl w:val="0"/>
                <w:numId w:val="6"/>
              </w:numPr>
            </w:pPr>
            <w:r>
              <w:rPr>
                <w:rStyle w:val="row-content-rich-text"/>
              </w:rPr>
              <w:t xml:space="preserve">State/territory (including total) by age group (infant, child 1–4 years, and child 0–4 years): all causes of death.</w:t>
            </w:r>
          </w:p>
          <w:p>
            <w:pPr>
              <w:spacing w:after="160"/>
            </w:pPr>
            <w:r>
              <w:rPr>
                <w:rStyle w:val="row-content-rich-text"/>
                <w:b/>
              </w:rPr>
              <w:t xml:space="preserve">Time series:</w:t>
            </w:r>
          </w:p>
          <w:p>
            <w:pPr>
              <w:spacing w:after="160"/>
            </w:pPr>
            <w:r>
              <w:rPr>
                <w:rStyle w:val="row-content-rich-text"/>
              </w:rPr>
              <w:t xml:space="preserve">Single year data:</w:t>
            </w:r>
          </w:p>
          <w:p>
            <w:pPr>
              <w:pStyle w:val="ListParagraph"/>
              <w:numPr>
                <w:ilvl w:val="0"/>
                <w:numId w:val="7"/>
              </w:numPr>
            </w:pPr>
            <w:r>
              <w:rPr>
                <w:rStyle w:val="row-content-rich-text"/>
              </w:rPr>
              <w:t xml:space="preserve">2007, 2008, 2009, 2010, 2011, 2012, 2013 (previously provided) and 2014 (by all causes of death for infant and child 0–4 years).</w:t>
            </w:r>
          </w:p>
          <w:p>
            <w:pPr>
              <w:pStyle w:val="ListParagraph"/>
              <w:numPr>
                <w:ilvl w:val="0"/>
                <w:numId w:val="7"/>
              </w:numPr>
            </w:pPr>
            <w:r>
              <w:rPr>
                <w:rStyle w:val="row-content-rich-text"/>
              </w:rPr>
              <w:t xml:space="preserve">2006, 2007, 2008, 2009, 2010, 2011, 2012 (previously provided) and 2013 (by all causes of death for perinatal).</w:t>
            </w:r>
          </w:p>
          <w:p>
            <w:pPr>
              <w:spacing w:after="160"/>
            </w:pPr>
            <w:r>
              <w:rPr>
                <w:rStyle w:val="row-content-rich-text"/>
              </w:rPr>
              <w:t xml:space="preserve">For Indigenous and non-Indigenous (numbers, rates, rate ratios, rate differences, variability bands, percentage change and statistical significance of change):</w:t>
            </w:r>
          </w:p>
          <w:p>
            <w:pPr>
              <w:pStyle w:val="ListParagraph"/>
              <w:numPr>
                <w:ilvl w:val="0"/>
                <w:numId w:val="8"/>
              </w:numPr>
            </w:pPr>
            <w:r>
              <w:rPr>
                <w:rStyle w:val="row-content-rich-text"/>
              </w:rPr>
              <w:t xml:space="preserve">Total (selected states/territories) by age group (perinatal, infant, and child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2011)</w:t>
            </w:r>
          </w:p>
          <w:p>
            <w:r>
              <w:rPr>
                <w:rStyle w:val="row-content"/>
              </w:rPr>
              <w:t xml:space="preserve"> </w:t>
            </w:r>
          </w:p>
          <w:p>
            <w:r>
              <w:rPr>
                <w:rStyle w:val="row-content"/>
                <w:b/>
              </w:rPr>
              <w:t xml:space="preserve">Data Source</w:t>
            </w:r>
          </w:p>
          <w:p>
            <w:hyperlink w:history="true" r:id="R0d2603f8d03f403f">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f1bdc09c27de4a3f">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2011)</w:t>
            </w:r>
          </w:p>
          <w:p>
            <w:r>
              <w:rPr>
                <w:rStyle w:val="row-content"/>
              </w:rPr>
              <w:t xml:space="preserve"> </w:t>
            </w:r>
          </w:p>
          <w:p>
            <w:r>
              <w:rPr>
                <w:rStyle w:val="row-content"/>
                <w:b/>
              </w:rPr>
              <w:t xml:space="preserve">Data Source</w:t>
            </w:r>
          </w:p>
          <w:p>
            <w:hyperlink w:history="true" r:id="Rded665b2b63746c4">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fa10a655769c4efc">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(ICD-10 2nd edn)</w:t>
            </w:r>
          </w:p>
          <w:p>
            <w:r>
              <w:rPr>
                <w:rStyle w:val="row-content"/>
              </w:rPr>
              <w:t xml:space="preserve"> </w:t>
            </w:r>
          </w:p>
          <w:p>
            <w:r>
              <w:rPr>
                <w:rStyle w:val="row-content"/>
                <w:b/>
              </w:rPr>
              <w:t xml:space="preserve">Data Source</w:t>
            </w:r>
          </w:p>
          <w:p>
            <w:hyperlink w:history="true" r:id="R31357c775fee462b">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2011)</w:t>
            </w:r>
          </w:p>
          <w:p>
            <w:r>
              <w:rPr>
                <w:rStyle w:val="row-content"/>
              </w:rPr>
              <w:t xml:space="preserve"> </w:t>
            </w:r>
          </w:p>
          <w:p>
            <w:r>
              <w:rPr>
                <w:rStyle w:val="row-content"/>
                <w:b/>
              </w:rPr>
              <w:t xml:space="preserve">Data Source</w:t>
            </w:r>
          </w:p>
          <w:p>
            <w:hyperlink w:history="true" r:id="R3e24309e7ec64ef8">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f31cbddf79e04e6c">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(ICD-10 2nd edn)</w:t>
            </w:r>
          </w:p>
          <w:p>
            <w:r>
              <w:rPr>
                <w:rStyle w:val="row-content"/>
              </w:rPr>
              <w:t xml:space="preserve"> </w:t>
            </w:r>
          </w:p>
          <w:p>
            <w:r>
              <w:rPr>
                <w:rStyle w:val="row-content"/>
                <w:b/>
              </w:rPr>
              <w:t xml:space="preserve">Data Source</w:t>
            </w:r>
          </w:p>
          <w:p>
            <w:hyperlink w:history="true" r:id="R09fea2f7d81e4cd8">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report is 2014 for infant and child all causes mortality and 2013 for perinatal data and causes of death data.</w:t>
            </w:r>
          </w:p>
          <w:p>
            <w:pPr>
              <w:spacing w:after="160"/>
            </w:pPr>
            <w:r>
              <w:rPr>
                <w:rStyle w:val="row-content-rich-text"/>
              </w:rPr>
              <w:t xml:space="preserve">Data are by reference year.</w:t>
            </w:r>
          </w:p>
          <w:p>
            <w:pPr>
              <w:spacing w:after="160"/>
            </w:pPr>
            <w:r>
              <w:rPr>
                <w:rStyle w:val="row-content-rich-text"/>
              </w:rPr>
              <w:t xml:space="preserve">Single year data for children under 5 by leading cause of death are not produced as the numbers are too small to identify trends. The body analysing progress against targets may reconsider this for future reports.</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data from only selected states and territories (NSW, Qld, WA, SA and the NT) are considered of accepted quality for reporting Indigenous deaths for all ages.</w:t>
            </w:r>
          </w:p>
          <w:p>
            <w:pPr>
              <w:spacing w:after="160"/>
            </w:pPr>
            <w:r>
              <w:rPr>
                <w:rStyle w:val="row-content-rich-text"/>
              </w:rPr>
              <w:t xml:space="preserve">National rates should include these five jurisdictions only.</w:t>
            </w:r>
          </w:p>
          <w:p>
            <w:pPr>
              <w:spacing w:after="160"/>
            </w:pPr>
            <w:r>
              <w:rPr>
                <w:rStyle w:val="row-content-rich-text"/>
              </w:rPr>
              <w:t xml:space="preserve">Disaggregation by state/territory is based on state/territory of usual residence of the deceased.</w:t>
            </w:r>
          </w:p>
          <w:p>
            <w:pPr>
              <w:spacing w:after="160"/>
            </w:pPr>
            <w:r>
              <w:rPr>
                <w:rStyle w:val="row-content-rich-text"/>
              </w:rPr>
              <w:t xml:space="preserve">Indigenous child and particularly infant mortality data are subject to high variability due to small numbers of deaths among children 0 to 4 years.</w:t>
            </w:r>
          </w:p>
          <w:p>
            <w:pPr>
              <w:spacing w:after="160"/>
            </w:pPr>
            <w:r>
              <w:rPr>
                <w:rStyle w:val="row-content-rich-text"/>
              </w:rPr>
              <w:t xml:space="preserve">Due to the small number of Indigenous deaths reported each year, 5 year combined data are recommended for reporting for the current reporting period. Disaggregation by leading causes of death is recommended to be reported at the national level only and not by state/territory due to small numbers.</w:t>
            </w:r>
          </w:p>
          <w:p>
            <w:pPr>
              <w:spacing w:after="160"/>
            </w:pPr>
            <w:r>
              <w:rPr>
                <w:rStyle w:val="row-content-rich-text"/>
              </w:rPr>
              <w:t xml:space="preserve">Single year data will be used for time series in the numerator and three year average for the denominator.</w:t>
            </w:r>
          </w:p>
          <w:p>
            <w:pPr>
              <w:spacing w:after="160"/>
            </w:pPr>
            <w:r>
              <w:rPr>
                <w:rStyle w:val="row-content-rich-text"/>
                <w:u w:val="single"/>
              </w:rPr>
              <w:t xml:space="preserve">Infant and child mortality:</w:t>
            </w:r>
          </w:p>
          <w:p>
            <w:pPr>
              <w:spacing w:after="160"/>
            </w:pPr>
            <w:r>
              <w:rPr>
                <w:rStyle w:val="row-content-rich-text"/>
              </w:rPr>
              <w:t xml:space="preserve">Aggregated data (2010–2014) will be reported for all causes mortality, and 2009–2013 for cause of death, for the current reporting period.</w:t>
            </w:r>
          </w:p>
          <w:p>
            <w:pPr>
              <w:spacing w:after="160"/>
            </w:pPr>
            <w:r>
              <w:rPr>
                <w:rStyle w:val="row-content-rich-text"/>
              </w:rPr>
              <w:t xml:space="preserve">Single year data (2006, 2007, 2008, 2009, 2010, 2011, 2012, 2013 and 2014) will be reported for time series analyses (all causes mortality and national level only for infants and child 0–4 years). For the 2016 report, data to be re-supplied for 2011 and 2012 for revised cause of death data.</w:t>
            </w:r>
          </w:p>
          <w:p>
            <w:pPr>
              <w:spacing w:after="160"/>
            </w:pPr>
            <w:r>
              <w:rPr>
                <w:rStyle w:val="row-content-rich-text"/>
                <w:u w:val="single"/>
              </w:rPr>
              <w:t xml:space="preserve">Perinatal data:</w:t>
            </w:r>
          </w:p>
          <w:p>
            <w:pPr>
              <w:spacing w:after="160"/>
            </w:pPr>
            <w:r>
              <w:rPr>
                <w:rStyle w:val="row-content-rich-text"/>
              </w:rPr>
              <w:t xml:space="preserve">Aggregated data (2009–2013) will be reported for the current reporting period.</w:t>
            </w:r>
          </w:p>
          <w:p>
            <w:pPr>
              <w:spacing w:after="160"/>
            </w:pPr>
            <w:r>
              <w:rPr>
                <w:rStyle w:val="row-content-rich-text"/>
              </w:rPr>
              <w:t xml:space="preserve">Single year data (2006, 2007, 2008, 2009, 2010, 2011, 2012 and 2013 only for all causes total) will be reported for time series analyses, noting that data provided for previous years will be used unless a resupply is provided. For the 2016 report, data to be re-supplied for 2011 and 2012 for revised cause of death data.</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c6ee58add0d04e61">
              <w:r>
                <w:rPr>
                  <w:rStyle w:val="Hyperlink"/>
                  <w:i/>
                </w:rPr>
                <w:t xml:space="preserve">ABS Implementation of the Iris Software: Understanding Coding and Process Improvements</w:t>
              </w:r>
            </w:hyperlink>
            <w:r>
              <w:rPr>
                <w:rStyle w:val="row-content-rich-text"/>
                <w:i/>
              </w:rPr>
              <w:t xml:space="preserve">.</w:t>
            </w:r>
          </w:p>
          <w:p>
            <w:pPr>
              <w:spacing w:after="160"/>
            </w:pPr>
            <w:r>
              <w:rPr>
                <w:rStyle w:val="row-content-rich-text"/>
              </w:rPr>
              <w:t xml:space="preserve">Variability bands accompanying mortality data should be used for the purposes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for National Indigenous Reform Agreement (NIRA) target (Halve the gap in mortality rates for Indigenous children under 5 within a decade) is 2008; baseline year for this indicator is 2006; target year is 2018.</w:t>
            </w:r>
          </w:p>
          <w:p>
            <w:pPr>
              <w:spacing w:after="160"/>
            </w:pPr>
            <w:r>
              <w:rPr>
                <w:rStyle w:val="row-content-rich-text"/>
              </w:rPr>
              <w:t xml:space="preserve">Child 1–4 and child 0–4 mortality measures are derived from ERPs and projections based on the 2011 Census. The non-Indigenous population will be calculated based on 2011 Census based ERP total population minus 2011 Census based projections. First release total population ERP is to be used until rebased.</w:t>
            </w:r>
          </w:p>
          <w:p>
            <w:pPr/>
            <w:r>
              <w:rPr>
                <w:rStyle w:val="row-content-rich-text"/>
              </w:rPr>
              <w:t xml:space="preserve">Perinatal data from the AIHW National Perinatal Data Collection was reported as supplementary data for this indicator in the 2008–09 and 2009–10 reporting cycles.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f890710899e48f6">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fcad65333ae4f09">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48e2ba0c9a944a3">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dc017c3926c4429">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74b831bb7b14450">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6fd2ac239e8b4ad2">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83dbd5756934e19">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b4345d4fdbf49cb">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deaths data.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730408008464727">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91ba10c71f434c">
              <w:r>
                <w:rPr>
                  <w:rStyle w:val="Hyperlink"/>
                </w:rPr>
                <w:t xml:space="preserve">National Indigenous Reform Agreement: PI 06-Under five mortality rate by leading cause, 2015</w:t>
              </w:r>
            </w:hyperlink>
          </w:p>
          <w:p>
            <w:pPr>
              <w:spacing w:before="0" w:after="0"/>
            </w:pPr>
            <w:r>
              <w:rPr>
                <w:rStyle w:val="row-content"/>
                <w:color w:val="244061"/>
              </w:rPr>
              <w:t xml:space="preserve">       </w:t>
            </w:r>
            <w:hyperlink w:history="true" r:id="Ra5d940798bca4963">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d33b12086c454c84">
              <w:r>
                <w:rPr>
                  <w:rStyle w:val="Hyperlink"/>
                </w:rPr>
                <w:t xml:space="preserve">National Indigenous Reform Agreement: PI 06—Under five mortality rate by leading cause, 2017</w:t>
              </w:r>
            </w:hyperlink>
          </w:p>
          <w:p>
            <w:pPr>
              <w:spacing w:before="0" w:after="0"/>
            </w:pPr>
            <w:r>
              <w:rPr>
                <w:rStyle w:val="row-content"/>
                <w:color w:val="244061"/>
              </w:rPr>
              <w:t xml:space="preserve">       </w:t>
            </w:r>
            <w:hyperlink w:history="true" r:id="R3c642a1a3c494581">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e5a5e0ae9513428e">
              <w:r>
                <w:rPr>
                  <w:rStyle w:val="Hyperlink"/>
                </w:rPr>
                <w:t xml:space="preserve">National Healthcare Agreement: PB b-Better health: halve the mortality gap for Indigenous children under five by 2018, 2015</w:t>
              </w:r>
            </w:hyperlink>
          </w:p>
          <w:p>
            <w:pPr>
              <w:spacing w:before="0" w:after="0"/>
            </w:pPr>
            <w:r>
              <w:rPr>
                <w:rStyle w:val="row-content"/>
                <w:color w:val="244061"/>
              </w:rPr>
              <w:t xml:space="preserve">       </w:t>
            </w:r>
            <w:hyperlink w:history="true" r:id="R1885711ee50d48c1">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43d1da34227c48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611173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884472592047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d1da34227c48aa" /><Relationship Type="http://schemas.openxmlformats.org/officeDocument/2006/relationships/header" Target="/word/header1.xml" Id="R645cd2f6ee3143d3" /><Relationship Type="http://schemas.openxmlformats.org/officeDocument/2006/relationships/settings" Target="/word/settings.xml" Id="Rfa8f36eb64904c98" /><Relationship Type="http://schemas.openxmlformats.org/officeDocument/2006/relationships/styles" Target="/word/styles.xml" Id="Rc01875f379ec4450" /><Relationship Type="http://schemas.openxmlformats.org/officeDocument/2006/relationships/hyperlink" Target="https://meteor.aihw.gov.au/RegistrationAuthority/6" TargetMode="External" Id="R5068d55cac954704" /><Relationship Type="http://schemas.openxmlformats.org/officeDocument/2006/relationships/hyperlink" Target="https://meteor.aihw.gov.au/content/611122" TargetMode="External" Id="R059c577a9b254880" /><Relationship Type="http://schemas.openxmlformats.org/officeDocument/2006/relationships/hyperlink" Target="https://meteor.aihw.gov.au/RegistrationAuthority/6" TargetMode="External" Id="R89f033ae461b4ab6" /><Relationship Type="http://schemas.openxmlformats.org/officeDocument/2006/relationships/hyperlink" Target="https://meteor.aihw.gov.au/content/396163" TargetMode="External" Id="R52445bf8858c4f68" /><Relationship Type="http://schemas.openxmlformats.org/officeDocument/2006/relationships/hyperlink" Target="https://meteor.aihw.gov.au/RegistrationAuthority/6" TargetMode="External" Id="Re3dac1134a0640f4" /><Relationship Type="http://schemas.openxmlformats.org/officeDocument/2006/relationships/numbering" Target="/word/numbering.xml" Id="Rb6befb80ee1c4270" /><Relationship Type="http://schemas.openxmlformats.org/officeDocument/2006/relationships/image" Target="/media/image.jpg" Id="Rae33ea10edd94299" /><Relationship Type="http://schemas.openxmlformats.org/officeDocument/2006/relationships/hyperlink" Target="https://meteor.aihw.gov.au/content/394481" TargetMode="External" Id="R16b62558e5f04fbe" /><Relationship Type="http://schemas.openxmlformats.org/officeDocument/2006/relationships/hyperlink" Target="https://meteor.aihw.gov.au/content/394490" TargetMode="External" Id="Re5591436c4394fce" /><Relationship Type="http://schemas.openxmlformats.org/officeDocument/2006/relationships/hyperlink" Target="https://meteor.aihw.gov.au/content/394490" TargetMode="External" Id="Rb91073f77e484305" /><Relationship Type="http://schemas.openxmlformats.org/officeDocument/2006/relationships/hyperlink" Target="https://meteor.aihw.gov.au/content/396455" TargetMode="External" Id="R58816dcc76d446e0" /><Relationship Type="http://schemas.openxmlformats.org/officeDocument/2006/relationships/hyperlink" Target="https://meteor.aihw.gov.au/content/396455" TargetMode="External" Id="Ra1541bd9559f46f1" /><Relationship Type="http://schemas.openxmlformats.org/officeDocument/2006/relationships/hyperlink" Target="https://meteor.aihw.gov.au/content/394483" TargetMode="External" Id="R30fd13f25a1249ff" /><Relationship Type="http://schemas.openxmlformats.org/officeDocument/2006/relationships/hyperlink" Target="https://meteor.aihw.gov.au/content/585823" TargetMode="External" Id="Rf4a7d917d2134377" /><Relationship Type="http://schemas.openxmlformats.org/officeDocument/2006/relationships/hyperlink" Target="https://meteor.aihw.gov.au/content/585823" TargetMode="External" Id="Rdbc45ca184284817" /><Relationship Type="http://schemas.openxmlformats.org/officeDocument/2006/relationships/hyperlink" Target="https://meteor.aihw.gov.au/content/585844" TargetMode="External" Id="R062e973c8ab946cb" /><Relationship Type="http://schemas.openxmlformats.org/officeDocument/2006/relationships/hyperlink" Target="https://meteor.aihw.gov.au/content/585844" TargetMode="External" Id="R769342154108443d" /><Relationship Type="http://schemas.openxmlformats.org/officeDocument/2006/relationships/hyperlink" Target="https://meteor.aihw.gov.au/content/394481" TargetMode="External" Id="R0d2603f8d03f403f" /><Relationship Type="http://schemas.openxmlformats.org/officeDocument/2006/relationships/hyperlink" Target="https://meteor.aihw.gov.au/content/394481" TargetMode="External" Id="Rf1bdc09c27de4a3f" /><Relationship Type="http://schemas.openxmlformats.org/officeDocument/2006/relationships/hyperlink" Target="https://meteor.aihw.gov.au/content/394490" TargetMode="External" Id="Rded665b2b63746c4" /><Relationship Type="http://schemas.openxmlformats.org/officeDocument/2006/relationships/hyperlink" Target="https://meteor.aihw.gov.au/content/394490" TargetMode="External" Id="Rfa10a655769c4efc" /><Relationship Type="http://schemas.openxmlformats.org/officeDocument/2006/relationships/hyperlink" Target="https://meteor.aihw.gov.au/content/394490" TargetMode="External" Id="R31357c775fee462b" /><Relationship Type="http://schemas.openxmlformats.org/officeDocument/2006/relationships/hyperlink" Target="https://meteor.aihw.gov.au/content/396455" TargetMode="External" Id="R3e24309e7ec64ef8" /><Relationship Type="http://schemas.openxmlformats.org/officeDocument/2006/relationships/hyperlink" Target="https://meteor.aihw.gov.au/content/396455" TargetMode="External" Id="Rf31cbddf79e04e6c" /><Relationship Type="http://schemas.openxmlformats.org/officeDocument/2006/relationships/hyperlink" Target="https://meteor.aihw.gov.au/content/396455" TargetMode="External" Id="R09fea2f7d81e4cd8" /><Relationship Type="http://schemas.openxmlformats.org/officeDocument/2006/relationships/hyperlink" Target="http://www.abs.gov.au/ausstats/abs@.nsf/Lookup/3303.0Technical+Note12013" TargetMode="External" Id="Rc6ee58add0d04e61" /><Relationship Type="http://schemas.openxmlformats.org/officeDocument/2006/relationships/hyperlink" Target="https://meteor.aihw.gov.au/content/410671" TargetMode="External" Id="R5f890710899e48f6" /><Relationship Type="http://schemas.openxmlformats.org/officeDocument/2006/relationships/hyperlink" Target="https://meteor.aihw.gov.au/content/394483" TargetMode="External" Id="R1fcad65333ae4f09" /><Relationship Type="http://schemas.openxmlformats.org/officeDocument/2006/relationships/hyperlink" Target="https://meteor.aihw.gov.au/content/394481" TargetMode="External" Id="R848e2ba0c9a944a3" /><Relationship Type="http://schemas.openxmlformats.org/officeDocument/2006/relationships/hyperlink" Target="https://meteor.aihw.gov.au/content/585823" TargetMode="External" Id="Rfdc017c3926c4429" /><Relationship Type="http://schemas.openxmlformats.org/officeDocument/2006/relationships/hyperlink" Target="https://meteor.aihw.gov.au/content/394490" TargetMode="External" Id="R674b831bb7b14450" /><Relationship Type="http://schemas.openxmlformats.org/officeDocument/2006/relationships/hyperlink" Target="https://meteor.aihw.gov.au/content/449206" TargetMode="External" Id="R6fd2ac239e8b4ad2" /><Relationship Type="http://schemas.openxmlformats.org/officeDocument/2006/relationships/hyperlink" Target="https://meteor.aihw.gov.au/content/585844" TargetMode="External" Id="R983dbd5756934e19" /><Relationship Type="http://schemas.openxmlformats.org/officeDocument/2006/relationships/hyperlink" Target="https://meteor.aihw.gov.au/content/396455" TargetMode="External" Id="R9b4345d4fdbf49cb" /><Relationship Type="http://schemas.openxmlformats.org/officeDocument/2006/relationships/hyperlink" Target="https://meteor.aihw.gov.au/content/410271" TargetMode="External" Id="Ra730408008464727" /><Relationship Type="http://schemas.openxmlformats.org/officeDocument/2006/relationships/hyperlink" Target="https://meteor.aihw.gov.au/content/579074" TargetMode="External" Id="R3391ba10c71f434c" /><Relationship Type="http://schemas.openxmlformats.org/officeDocument/2006/relationships/hyperlink" Target="https://meteor.aihw.gov.au/RegistrationAuthority/6" TargetMode="External" Id="Ra5d940798bca4963" /><Relationship Type="http://schemas.openxmlformats.org/officeDocument/2006/relationships/hyperlink" Target="https://meteor.aihw.gov.au/content/645393" TargetMode="External" Id="Rd33b12086c454c84" /><Relationship Type="http://schemas.openxmlformats.org/officeDocument/2006/relationships/hyperlink" Target="https://meteor.aihw.gov.au/RegistrationAuthority/6" TargetMode="External" Id="R3c642a1a3c494581" /><Relationship Type="http://schemas.openxmlformats.org/officeDocument/2006/relationships/hyperlink" Target="https://meteor.aihw.gov.au/content/559079" TargetMode="External" Id="Re5a5e0ae9513428e" /><Relationship Type="http://schemas.openxmlformats.org/officeDocument/2006/relationships/hyperlink" Target="https://meteor.aihw.gov.au/RegistrationAuthority/12" TargetMode="External" Id="R1885711ee50d48c1" /></Relationships>
</file>

<file path=word/_rels/header1.xml.rels>&#65279;<?xml version="1.0" encoding="utf-8"?><Relationships xmlns="http://schemas.openxmlformats.org/package/2006/relationships"><Relationship Type="http://schemas.openxmlformats.org/officeDocument/2006/relationships/image" Target="/media/image.png" Id="R9c88447259204789" /></Relationships>
</file>