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cc925b7ba249d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Bioequivalent indicator; Brand 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f073fd3584d1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2db5ad42d5ef4fab">
              <w:r>
                <w:rPr>
                  <w:rStyle w:val="Hyperlink"/>
                  <w:b/>
                </w:rPr>
                <w:t xml:space="preserve">bioequivalent</w:t>
              </w:r>
            </w:hyperlink>
            <w:r>
              <w:rPr>
                <w:rStyle w:val="row-content-rich-text"/>
              </w:rPr>
              <w:t xml:space="preserve"> brand of a medicinal product is allowed to be substituted for the brand prescribed from the Schedule of Pharmaceutical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37b157da74b2d">
              <w:r>
                <w:rPr>
                  <w:rStyle w:val="Hyperlink"/>
                </w:rPr>
                <w:t xml:space="preserve">Pharmaceutical Benefits Scheme (PBS) prescription—bioequivalent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12f3028bc04cbf">
              <w:r>
                <w:rPr>
                  <w:rStyle w:val="Hyperlink"/>
                </w:rPr>
                <w:t xml:space="preserve">Bioequivalent allowed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6d475f991d674e2b">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identify different brands of the same drug, form and strength that can be substituted by the pharmacist. The underlying assumption is that the brand has been declared as bioequivalent by the Therapeutic Goods Administration (TGA), following a request by the manufacturer.</w:t>
            </w:r>
          </w:p>
          <w:p>
            <w:pPr>
              <w:spacing w:after="160"/>
            </w:pPr>
            <w:r>
              <w:rPr>
                <w:rStyle w:val="row-content-rich-text"/>
              </w:rPr>
              <w:t xml:space="preserve">Within the Schedule of Pharmaceutical Benefits, bioequivalent medicinal products are flagged as being either 'Brand equivalent a' or 'Brand equivalent b'.</w:t>
            </w:r>
          </w:p>
          <w:p>
            <w:pPr>
              <w:spacing w:after="160"/>
            </w:pPr>
            <w:r>
              <w:rPr>
                <w:rStyle w:val="row-content-rich-text"/>
              </w:rPr>
              <w:t xml:space="preserve">'Brand equivalent a' medicinal products are those for which either:</w:t>
            </w:r>
          </w:p>
          <w:p>
            <w:pPr>
              <w:pStyle w:val="ListParagraph"/>
              <w:numPr>
                <w:ilvl w:val="0"/>
                <w:numId w:val="3"/>
              </w:numPr>
            </w:pPr>
            <w:r>
              <w:rPr>
                <w:rStyle w:val="row-content-rich-text"/>
              </w:rPr>
              <w:t xml:space="preserve">the sponsor of the brand has submitted evidence to the TGA that the medicinal product has been demonstrated to be bioequivalent or therapeutically equivalent, or</w:t>
            </w:r>
          </w:p>
          <w:p>
            <w:pPr>
              <w:pStyle w:val="ListParagraph"/>
              <w:numPr>
                <w:ilvl w:val="0"/>
                <w:numId w:val="3"/>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'Brand equivalent b' medicinal products are those brands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c81fdd7533ef4d46">
              <w:r>
                <w:rPr>
                  <w:rStyle w:val="Hyperlink"/>
                </w:rPr>
                <w:t xml:space="preserve">http://www.pbs.gov.au/info/healthpro/explanatory-notes/</w:t>
              </w:r>
              <w:r>
                <w:br/>
              </w:r>
              <w:r>
                <w:rPr>
                  <w:rStyle w:val="row-content-rich-text"/>
                </w:rPr>
                <w:t xml:space="preserve">section2/section-2-symbols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8f66daff442e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f52caaea74be455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BQVLNT_IND</w:t>
            </w:r>
          </w:p>
          <w:p>
            <w:r>
              <w:br/>
            </w:r>
            <w:r>
              <w:br/>
            </w:r>
          </w:p>
        </w:tc>
      </w:tr>
    </w:tbl>
    <w:p/>
    <w:tbl>
      <w:tblPr>
        <w:tblStyle w:val="TableGrid"/>
        <w:tblW w:w="0" w:type="auto"/>
      </w:tblPr>
    </w:tbl>
    <w:p>
      <w:r>
        <w:br/>
      </w:r>
    </w:p>
    <w:sectPr>
      <w:footerReference xmlns:r="http://schemas.openxmlformats.org/officeDocument/2006/relationships" w:type="default" r:id="R8e3b0f26d5da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605962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a8d2fb827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b0f26d5da4696" /><Relationship Type="http://schemas.openxmlformats.org/officeDocument/2006/relationships/header" Target="/word/header1.xml" Id="R40bbf816bff84220" /><Relationship Type="http://schemas.openxmlformats.org/officeDocument/2006/relationships/settings" Target="/word/settings.xml" Id="Rd394f49464514666" /><Relationship Type="http://schemas.openxmlformats.org/officeDocument/2006/relationships/styles" Target="/word/styles.xml" Id="R68f909621b1e4f4c" /><Relationship Type="http://schemas.openxmlformats.org/officeDocument/2006/relationships/hyperlink" Target="https://meteor.aihw.gov.au/RegistrationAuthority/10" TargetMode="External" Id="R3c1f073fd3584d1e" /><Relationship Type="http://schemas.openxmlformats.org/officeDocument/2006/relationships/hyperlink" Target="https://meteor.aihw.gov.au/content/606099" TargetMode="External" Id="R2db5ad42d5ef4fab" /><Relationship Type="http://schemas.openxmlformats.org/officeDocument/2006/relationships/hyperlink" Target="https://meteor.aihw.gov.au/content/605948" TargetMode="External" Id="R56637b157da74b2d" /><Relationship Type="http://schemas.openxmlformats.org/officeDocument/2006/relationships/hyperlink" Target="https://meteor.aihw.gov.au/content/612340" TargetMode="External" Id="R7812f3028bc04cbf" /><Relationship Type="http://schemas.openxmlformats.org/officeDocument/2006/relationships/numbering" Target="/word/numbering.xml" Id="R671e80ea77404d42" /><Relationship Type="http://schemas.openxmlformats.org/officeDocument/2006/relationships/hyperlink" Target="http://www.pbs.gov.au/info/healthpro/explanatory-notes/section2/section-2-symbols" TargetMode="External" Id="R6d475f991d674e2b" /><Relationship Type="http://schemas.openxmlformats.org/officeDocument/2006/relationships/hyperlink" Target="http://www.pbs.gov.au/info/healthpro/explanatory-notes/section2/section-2-symbols" TargetMode="External" Id="Rc81fdd7533ef4d46" /><Relationship Type="http://schemas.openxmlformats.org/officeDocument/2006/relationships/hyperlink" Target="https://meteor.aihw.gov.au/content/602524" TargetMode="External" Id="R2b28f66daff442ea" /><Relationship Type="http://schemas.openxmlformats.org/officeDocument/2006/relationships/hyperlink" Target="https://meteor.aihw.gov.au/RegistrationAuthority/10" TargetMode="External" Id="Rf52caaea74be455d" /></Relationships>
</file>

<file path=word/_rels/header1.xml.rels>&#65279;<?xml version="1.0" encoding="utf-8"?><Relationships xmlns="http://schemas.openxmlformats.org/package/2006/relationships"><Relationship Type="http://schemas.openxmlformats.org/officeDocument/2006/relationships/image" Target="/media/image.png" Id="Re7ba8d2fb827473f" /></Relationships>
</file>