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f8658daf640c8"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prescription—bioequivalent allowed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prescription—bioequivalent allowed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f9854c9a1439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14a0004664fa4289">
              <w:r>
                <w:rPr>
                  <w:rStyle w:val="Hyperlink"/>
                  <w:b/>
                </w:rPr>
                <w:t xml:space="preserve">bioequivalent</w:t>
              </w:r>
            </w:hyperlink>
            <w:r>
              <w:rPr>
                <w:rStyle w:val="row-content-rich-text"/>
              </w:rPr>
              <w:t xml:space="preserve"> brand of a medicinal product is allowed to be substituted for the brand prescribed from the Schedule of Pharmaceutical Benefits.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510bec0cd943e1">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01308dc5ec478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3d5962e53e4211">
              <w:r>
                <w:rPr>
                  <w:rStyle w:val="Hyperlink"/>
                </w:rPr>
                <w:t xml:space="preserve">Bioequivalent allowed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83e796493be54521">
              <w:r>
                <w:rPr>
                  <w:rStyle w:val="Hyperlink"/>
                  <w:b/>
                </w:rPr>
                <w:t xml:space="preserve">bioequivalent</w:t>
              </w:r>
            </w:hyperlink>
            <w:r>
              <w:rPr>
                <w:rStyle w:val="row-content-rich-text"/>
              </w:rPr>
              <w:t xml:space="preserve"> brand of a medicinal product is allowed to be substituted for the prescribed brand of medicinal product.</w:t>
            </w:r>
          </w:p>
          <w:p>
            <w:pPr>
              <w:spacing w:after="160"/>
            </w:pPr>
            <w:r>
              <w:rPr>
                <w:rStyle w:val="row-content-rich-text"/>
              </w:rPr>
              <w:t xml:space="preserve">Two formulations of the same drug are considered to be bioequivalent if they attain similar concentrations in blood and tissues at similar times with no clinically important differences between their therapeutic or adverse effects.</w:t>
            </w:r>
          </w:p>
          <w:p>
            <w:pPr/>
            <w:r>
              <w:rPr>
                <w:rStyle w:val="row-content-rich-text"/>
              </w:rPr>
              <w:t xml:space="preserve">The concept of bioequivalence is fundamental to the use of generic medicinal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d0d769fcbe4c0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1f6d9480c7448a">
              <w:r>
                <w:rPr>
                  <w:rStyle w:val="Hyperlink"/>
                </w:rPr>
                <w:t xml:space="preserve">Pharmaceutical Benefits Scheme (PBS) prescription—bioequivalent allowed indicator, code A</w:t>
              </w:r>
            </w:hyperlink>
          </w:p>
          <w:p>
            <w:pPr>
              <w:spacing w:before="0" w:after="0"/>
            </w:pPr>
            <w:r>
              <w:rPr>
                <w:rStyle w:val="row-content"/>
                <w:color w:val="244061"/>
              </w:rPr>
              <w:t xml:space="preserve">       </w:t>
            </w:r>
            <w:hyperlink w:history="true" r:id="R5aef505e81734bcf">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1fd68021afe2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605948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99afb027a48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68021afe24dd4" /><Relationship Type="http://schemas.openxmlformats.org/officeDocument/2006/relationships/header" Target="/word/header1.xml" Id="Rd0d53c5d1a0742a7" /><Relationship Type="http://schemas.openxmlformats.org/officeDocument/2006/relationships/settings" Target="/word/settings.xml" Id="R1f6263b232414f8b" /><Relationship Type="http://schemas.openxmlformats.org/officeDocument/2006/relationships/styles" Target="/word/styles.xml" Id="R0e5a8902f7a24c06" /><Relationship Type="http://schemas.openxmlformats.org/officeDocument/2006/relationships/hyperlink" Target="https://meteor.aihw.gov.au/RegistrationAuthority/10" TargetMode="External" Id="R0e3f9854c9a1439e" /><Relationship Type="http://schemas.openxmlformats.org/officeDocument/2006/relationships/hyperlink" Target="https://meteor.aihw.gov.au/content/606099" TargetMode="External" Id="R14a0004664fa4289" /><Relationship Type="http://schemas.openxmlformats.org/officeDocument/2006/relationships/hyperlink" Target="https://meteor.aihw.gov.au/content/601920" TargetMode="External" Id="Ra0510bec0cd943e1" /><Relationship Type="http://schemas.openxmlformats.org/officeDocument/2006/relationships/hyperlink" Target="https://meteor.aihw.gov.au/content/281121" TargetMode="External" Id="R8f01308dc5ec4785" /><Relationship Type="http://schemas.openxmlformats.org/officeDocument/2006/relationships/hyperlink" Target="https://meteor.aihw.gov.au/content/605595" TargetMode="External" Id="R4a3d5962e53e4211" /><Relationship Type="http://schemas.openxmlformats.org/officeDocument/2006/relationships/hyperlink" Target="https://meteor.aihw.gov.au/content/606099" TargetMode="External" Id="R83e796493be54521" /><Relationship Type="http://schemas.openxmlformats.org/officeDocument/2006/relationships/hyperlink" Target="https://meteor.aihw.gov.au/content/274661" TargetMode="External" Id="Rd0d0d769fcbe4c01" /><Relationship Type="http://schemas.openxmlformats.org/officeDocument/2006/relationships/hyperlink" Target="https://meteor.aihw.gov.au/content/605962" TargetMode="External" Id="R781f6d9480c7448a" /><Relationship Type="http://schemas.openxmlformats.org/officeDocument/2006/relationships/hyperlink" Target="https://meteor.aihw.gov.au/RegistrationAuthority/10" TargetMode="External" Id="R5aef505e81734bcf" /></Relationships>
</file>

<file path=word/_rels/header1.xml.rels>&#65279;<?xml version="1.0" encoding="utf-8"?><Relationships xmlns="http://schemas.openxmlformats.org/package/2006/relationships"><Relationship Type="http://schemas.openxmlformats.org/officeDocument/2006/relationships/image" Target="/media/image.png" Id="R11399afb027a4877" /></Relationships>
</file>