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020586bfc43c1" /></Relationships>
</file>

<file path=word/document.xml><?xml version="1.0" encoding="utf-8"?>
<w:document xmlns:r="http://schemas.openxmlformats.org/officeDocument/2006/relationships" xmlns:w="http://schemas.openxmlformats.org/wordprocessingml/2006/main">
  <w:body>
    <w:p>
      <w:pPr>
        <w:pStyle w:val="Title"/>
      </w:pPr>
      <w:r>
        <w:t>Commonwealth government assistance scheme category code AX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government assistance scheme category code AX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531548df740a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patient categories, in the context of the Commonwealth government assistance scheme under which a benefit or subsidy is paid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G1</w:t>
            </w:r>
          </w:p>
        </w:tc>
        <w:tc>
          <w:tcPr>
            <w:tcBorders>
              <w:top w:val="none" w:color="000000" w:sz="0"/>
              <w:left w:val="none" w:color="000000" w:sz="0"/>
              <w:bottom w:val="none" w:color="000000" w:sz="0"/>
              <w:right w:val="none" w:color="000000" w:sz="0"/>
            </w:tcBorders>
            <w:vAlign w:val="top"/>
          </w:tcPr>
          <w:p>
            <w:r>
              <w:t xml:space="preserve">General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General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w:t>
            </w:r>
          </w:p>
        </w:tc>
        <w:tc>
          <w:tcPr>
            <w:tcBorders>
              <w:top w:val="none" w:color="000000" w:sz="0"/>
              <w:left w:val="none" w:color="000000" w:sz="0"/>
              <w:bottom w:val="none" w:color="000000" w:sz="0"/>
              <w:right w:val="none" w:color="000000" w:sz="0"/>
            </w:tcBorders>
            <w:vAlign w:val="top"/>
          </w:tcPr>
          <w:p>
            <w:r>
              <w:t xml:space="preserve">Concessional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w:t>
            </w:r>
          </w:p>
        </w:tc>
        <w:tc>
          <w:tcPr>
            <w:tcBorders>
              <w:top w:val="none" w:color="000000" w:sz="0"/>
              <w:left w:val="none" w:color="000000" w:sz="0"/>
              <w:bottom w:val="none" w:color="000000" w:sz="0"/>
              <w:right w:val="none" w:color="000000" w:sz="0"/>
            </w:tcBorders>
            <w:vAlign w:val="top"/>
          </w:tcPr>
          <w:p>
            <w:r>
              <w:t xml:space="preserve">Concessional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R0</w:t>
            </w:r>
          </w:p>
        </w:tc>
        <w:tc>
          <w:tcPr>
            <w:tcBorders>
              <w:top w:val="none" w:color="000000" w:sz="0"/>
              <w:left w:val="none" w:color="000000" w:sz="0"/>
              <w:bottom w:val="none" w:color="000000" w:sz="0"/>
              <w:right w:val="none" w:color="000000" w:sz="0"/>
            </w:tcBorders>
            <w:vAlign w:val="top"/>
          </w:tcPr>
          <w:p>
            <w:r>
              <w:t xml:space="preserve">Repatriation (Department of Veterans' Affairs - DVA)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w:t>
            </w:r>
          </w:p>
        </w:tc>
        <w:tc>
          <w:tcPr>
            <w:tcBorders>
              <w:top w:val="none" w:color="000000" w:sz="0"/>
              <w:left w:val="none" w:color="000000" w:sz="0"/>
              <w:bottom w:val="none" w:color="000000" w:sz="0"/>
              <w:right w:val="none" w:color="000000" w:sz="0"/>
            </w:tcBorders>
            <w:vAlign w:val="top"/>
          </w:tcPr>
          <w:p>
            <w:r>
              <w:t xml:space="preserve">Repatriation (DVA)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 products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or quadriplegic products prescription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DB   </w:t>
            </w:r>
            <w:hyperlink w:tooltip="A provision within the Pharmaceutical Benefits Scheme (PBS) whereby certain pharmaceutical benefits are provided without charge to prescribers who, in turn, can supply them free to patients for emergency use." w:history="true" r:id="Rb33d79b9470b4cf5">
              <w:r>
                <w:rPr>
                  <w:rStyle w:val="Hyperlink"/>
                  <w:b/>
                </w:rPr>
                <w:t xml:space="preserve">Prescriber Bag</w:t>
              </w:r>
            </w:hyperlink>
            <w:r>
              <w:rPr>
                <w:rStyle w:val="row-content-rich-text"/>
              </w:rPr>
              <w:t xml:space="preserve"> orders</w:t>
            </w:r>
          </w:p>
          <w:p>
            <w:pPr>
              <w:spacing w:after="160"/>
            </w:pPr>
            <w:r>
              <w:rPr>
                <w:rStyle w:val="row-content-rich-text"/>
              </w:rPr>
              <w:t xml:space="preserve">This code is used to describe a provision within the Pharmaceutical Benefits Scheme (PBS) whereby certain pharmaceutical benefits are provided without charge to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bc30ded6559947af">
              <w:r>
                <w:rPr>
                  <w:rStyle w:val="Hyperlink"/>
                  <w:b/>
                </w:rPr>
                <w:t xml:space="preserve">prescribers</w:t>
              </w:r>
            </w:hyperlink>
            <w:r>
              <w:rPr>
                <w:rStyle w:val="row-content-rich-text"/>
              </w:rPr>
              <w:t xml:space="preserve"> who, in turn, can supply them free of charge to patients for emergency use.</w:t>
            </w:r>
          </w:p>
          <w:p>
            <w:pPr>
              <w:spacing w:after="160"/>
            </w:pPr>
            <w:r>
              <w:rPr>
                <w:rStyle w:val="row-content-rich-text"/>
              </w:rPr>
              <w:t xml:space="preserve">Also known as Doctor's Bag orders, particularly in the context of historical data records.</w:t>
            </w:r>
          </w:p>
          <w:p>
            <w:pPr>
              <w:spacing w:after="160"/>
            </w:pPr>
            <w:r>
              <w:rPr>
                <w:rStyle w:val="row-content-rich-text"/>
              </w:rPr>
              <w:t xml:space="preserve">CODE OC   Stoma products prescription</w:t>
            </w:r>
          </w:p>
          <w:p>
            <w:pPr>
              <w:spacing w:after="160"/>
            </w:pPr>
            <w:r>
              <w:rPr>
                <w:rStyle w:val="row-content-rich-text"/>
              </w:rPr>
              <w:t xml:space="preserve">This code is used in instances where the payment of a benefit is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the Department of Human Services through one of the associations.</w:t>
            </w:r>
          </w:p>
          <w:p>
            <w:pPr>
              <w:spacing w:after="160"/>
            </w:pPr>
            <w:r>
              <w:rPr>
                <w:rStyle w:val="row-content-rich-text"/>
              </w:rPr>
              <w:t xml:space="preserve">CODE OP   Paraplegic or quadriplegic products prescription</w:t>
            </w:r>
          </w:p>
          <w:p>
            <w:pPr>
              <w:spacing w:after="160"/>
            </w:pPr>
            <w:r>
              <w:rPr>
                <w:rStyle w:val="row-content-rich-text"/>
              </w:rPr>
              <w:t xml:space="preserve">This code is used in instances where the payment of a benefit is related to the provision of paraplegic- or quadriplegic-related aids and appliances.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the Department of Human Services through one of the associations.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20fb3ad851ad4881">
              <w:r>
                <w:rPr>
                  <w:rStyle w:val="Hyperlink"/>
                </w:rPr>
                <w:t xml:space="preserve">http://www.health.gov.au/internet/main/publishing.nsf/</w:t>
              </w:r>
              <w:r>
                <w:br/>
              </w:r>
              <w:r>
                <w:rPr>
                  <w:rStyle w:val="row-content-rich-text"/>
                </w:rPr>
                <w:t xml:space="preserve">Content/Stoma+Appliance+Scheme-3</w:t>
              </w:r>
            </w:hyperlink>
          </w:p>
          <w:p>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4729b77b7d2d4b6d">
              <w:r>
                <w:rPr>
                  <w:rStyle w:val="Hyperlink"/>
                </w:rPr>
                <w:t xml:space="preserve">https://www.comlaw.gov.au/Details/F2015C00562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3862e9ac7f4a98">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b85c22616c914d52">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3d4a30e11a2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604079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305635108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4a30e11a24301" /><Relationship Type="http://schemas.openxmlformats.org/officeDocument/2006/relationships/header" Target="/word/header1.xml" Id="R73e4414ec68b4cb8" /><Relationship Type="http://schemas.openxmlformats.org/officeDocument/2006/relationships/settings" Target="/word/settings.xml" Id="R5479ba7811e94d82" /><Relationship Type="http://schemas.openxmlformats.org/officeDocument/2006/relationships/styles" Target="/word/styles.xml" Id="Rab098bf01c064109" /><Relationship Type="http://schemas.openxmlformats.org/officeDocument/2006/relationships/hyperlink" Target="https://meteor.aihw.gov.au/RegistrationAuthority/10" TargetMode="External" Id="R31e531548df740a6" /><Relationship Type="http://schemas.openxmlformats.org/officeDocument/2006/relationships/hyperlink" Target="https://meteor.aihw.gov.au/content/600706" TargetMode="External" Id="Rb33d79b9470b4cf5" /><Relationship Type="http://schemas.openxmlformats.org/officeDocument/2006/relationships/hyperlink" Target="https://meteor.aihw.gov.au/content/606757" TargetMode="External" Id="Rbc30ded6559947af" /><Relationship Type="http://schemas.openxmlformats.org/officeDocument/2006/relationships/hyperlink" Target="http://www.health.gov.au/internet/main/publishing.nsf/Content/Stoma+Appliance+Scheme-3" TargetMode="External" Id="R20fb3ad851ad4881" /><Relationship Type="http://schemas.openxmlformats.org/officeDocument/2006/relationships/hyperlink" Target="https://www.comlaw.gov.au/Details/F2015C00562" TargetMode="External" Id="R4729b77b7d2d4b6d" /><Relationship Type="http://schemas.openxmlformats.org/officeDocument/2006/relationships/hyperlink" Target="https://meteor.aihw.gov.au/content/604103" TargetMode="External" Id="R0f3862e9ac7f4a98" /><Relationship Type="http://schemas.openxmlformats.org/officeDocument/2006/relationships/hyperlink" Target="https://meteor.aihw.gov.au/RegistrationAuthority/10" TargetMode="External" Id="Rb85c22616c914d52" /></Relationships>
</file>

<file path=word/_rels/header1.xml.rels>&#65279;<?xml version="1.0" encoding="utf-8"?><Relationships xmlns="http://schemas.openxmlformats.org/package/2006/relationships"><Relationship Type="http://schemas.openxmlformats.org/officeDocument/2006/relationships/image" Target="/media/image.png" Id="Rc5430563510847d8" /></Relationships>
</file>