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8e13e62c344b7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3b1d8b4cf40d4">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births and deaths data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dee8a5bf8f264c2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r>
              <w:br/>
            </w:r>
            <w:r>
              <w:rPr>
                <w:rStyle w:val="row-content-rich-text"/>
              </w:rPr>
              <w:t xml:space="preserve"> </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follow-up activity due to missing information on the form, or resource limitations).</w:t>
            </w:r>
            <w:r>
              <w:br/>
            </w:r>
            <w:r>
              <w:rPr>
                <w:rStyle w:val="row-content-rich-text"/>
              </w:rPr>
              <w:t xml:space="preserve"> </w:t>
            </w:r>
          </w:p>
          <w:p>
            <w:pPr>
              <w:spacing w:after="160"/>
            </w:pPr>
            <w:r>
              <w:rPr>
                <w:rStyle w:val="row-content-rich-text"/>
              </w:rPr>
              <w:t xml:space="preserve">Preliminary Estimated Resident Population (ERP) data are compiled and published quarterly and are generally made available five to six months after the end of each reference quarter. Every year, the 30 June ERP data are further disaggregated by sex and single year of age, and are made available five to six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are compiled on a date of occurrence basis. In the case of net overseas migration, final data are based on actual traveller behaviour.</w:t>
            </w:r>
          </w:p>
          <w:p>
            <w:pPr>
              <w:spacing w:after="160"/>
            </w:pPr>
            <w:r>
              <w:rPr>
                <w:rStyle w:val="row-content-rich-text"/>
              </w:rPr>
              <w:t xml:space="preserve">Final estimates are made available every 5 years after a Census and revisions are made to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w:t>
            </w:r>
            <w:r>
              <w:rPr>
                <w:rStyle w:val="row-content-rich-text"/>
                <w:i/>
              </w:rPr>
              <w:t xml:space="preserve">Recasting 20 years of ERP in the December quarter 2012 </w:t>
            </w:r>
            <w:r>
              <w:rPr>
                <w:rStyle w:val="row-content-rich-text"/>
              </w:rPr>
              <w:t xml:space="preserve">issue of </w:t>
            </w:r>
            <w:hyperlink w:history="true" r:id="Rce9b984da54f4e4c">
              <w:r>
                <w:rPr>
                  <w:rStyle w:val="Hyperlink"/>
                </w:rPr>
                <w:t xml:space="preserve">Australian Demographic Statistics (ABS cat. no. 3101.0)</w:t>
              </w:r>
            </w:hyperlink>
            <w:r>
              <w:rPr>
                <w:rStyle w:val="row-content-rich-text"/>
              </w:rPr>
              <w:t xml:space="preserve">.</w:t>
            </w:r>
          </w:p>
          <w:p>
            <w:pPr/>
            <w:r>
              <w:rPr>
                <w:rStyle w:val="row-content-rich-text"/>
              </w:rPr>
              <w:t xml:space="preserve">For further information on ABS ERP data,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available in a variety of formats on the ABS website under the </w:t>
            </w:r>
            <w:hyperlink w:history="true" r:id="Re24ab8cf447d4a33">
              <w:r>
                <w:rPr>
                  <w:rStyle w:val="Hyperlink"/>
                </w:rPr>
                <w:t xml:space="preserve">3303.0</w:t>
              </w:r>
            </w:hyperlink>
            <w:r>
              <w:rPr>
                <w:rStyle w:val="row-content-rich-text"/>
              </w:rPr>
              <w:t xml:space="preserve"> product family. Perinatal deaths are currently available in this same product family. Births data are available in a variety of formats on the ABS website under the </w:t>
            </w:r>
            <w:hyperlink w:history="true" r:id="Rf9d2c179c7aa4021">
              <w:r>
                <w:rPr>
                  <w:rStyle w:val="Hyperlink"/>
                </w:rPr>
                <w:t xml:space="preserve">3301.0</w:t>
              </w:r>
            </w:hyperlink>
            <w:r>
              <w:rPr>
                <w:rStyle w:val="row-content-rich-text"/>
              </w:rPr>
              <w:t xml:space="preserve"> product family. ERP data are available in a variety of formats on the ABS website under the </w:t>
            </w:r>
            <w:hyperlink w:history="true" r:id="Rb62cc2014dc64c9b">
              <w:r>
                <w:rPr>
                  <w:rStyle w:val="Hyperlink"/>
                </w:rPr>
                <w:t xml:space="preserve">3101.0</w:t>
              </w:r>
            </w:hyperlink>
            <w:r>
              <w:rPr>
                <w:rStyle w:val="row-content-rich-text"/>
              </w:rPr>
              <w:t xml:space="preserve"> and </w:t>
            </w:r>
            <w:hyperlink w:history="true" r:id="Rd6ac3fed85bd4861">
              <w:r>
                <w:rPr>
                  <w:rStyle w:val="Hyperlink"/>
                </w:rPr>
                <w:t xml:space="preserve">3201.0</w:t>
              </w:r>
            </w:hyperlink>
            <w:r>
              <w:rPr>
                <w:rStyle w:val="row-content-rich-text"/>
              </w:rPr>
              <w:t xml:space="preserve"> product families. Further information on deaths and mortality may be available from the ABS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p>
            <w:pPr/>
            <w:r>
              <w:rPr>
                <w:rStyle w:val="row-content-rich-text"/>
              </w:rPr>
              <w:t xml:space="preserve">Data for this indicator are published annually in the National Indigenous Reform Agreement information reports (which are available on the </w:t>
            </w:r>
            <w:hyperlink w:history="true" r:id="R948ead0cefd54415">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follows: deaths per 1,000 total births for perinatal deaths; deaths per 1,000 live births for infant deaths; and deaths per 100,000 estimated resident population for child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of Births, Deaths and Marriages,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(that is,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Concerns have been raised with the accuracy of the New South Wales' births counts in recent years. In response to these concerns the ABS, in conjunction with the New South Wales Registry of Births, Deaths and Marriages, has undertaken an investigation which has led to the identification of an ABS systems processing error. The ABS acknowledges that this has resulted in previous undercounts of births in New South Wales. Data for New South Wales and Australia have been revised to include previously unprocessed New South Wales birth registrations for the period 2005 to 2011.</w:t>
            </w:r>
          </w:p>
          <w:p>
            <w:pPr>
              <w:spacing w:after="160"/>
            </w:pPr>
            <w:r>
              <w:rPr>
                <w:rStyle w:val="row-content-rich-text"/>
              </w:rPr>
              <w:t xml:space="preserve">It is likely that some deaths of Indigenous people are not accurately identified as Indigenous deaths.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r>
              <w:rPr>
                <w:rStyle w:val="row-content-rich-text"/>
                <w:i/>
              </w:rPr>
              <w:t xml:space="preserve">Causes of Death, Australia, 2010 </w:t>
            </w:r>
            <w:r>
              <w:rPr>
                <w:rStyle w:val="row-content-rich-text"/>
              </w:rPr>
              <w:t xml:space="preserve">publication (ABS cat. no. 3303.0) and 2010 data reported for the Council of Australian Governments (COAG), as this adjustment was not applied in the publication. For further details see Technical Note: </w:t>
            </w:r>
            <w:r>
              <w:rPr>
                <w:rStyle w:val="row-content-rich-text"/>
                <w:i/>
              </w:rPr>
              <w:t xml:space="preserve">Registration of outstanding deaths, Queensland 2010</w:t>
            </w:r>
            <w:r>
              <w:rPr>
                <w:rStyle w:val="row-content-rich-text"/>
              </w:rPr>
              <w:t xml:space="preserve">, from the </w:t>
            </w:r>
            <w:r>
              <w:rPr>
                <w:rStyle w:val="row-content-rich-text"/>
                <w:i/>
              </w:rPr>
              <w:t xml:space="preserve">Deaths, Australia, 2010 </w:t>
            </w:r>
            <w:r>
              <w:rPr>
                <w:rStyle w:val="row-content-rich-text"/>
              </w:rPr>
              <w:t xml:space="preserve">publication (ABS cat. no. 3302.0) and Explanatory Note 103 in the </w:t>
            </w:r>
            <w:r>
              <w:rPr>
                <w:rStyle w:val="row-content-rich-text"/>
                <w:i/>
              </w:rPr>
              <w:t xml:space="preserve">Causes of Death, Australia, 2010 </w:t>
            </w:r>
            <w:r>
              <w:rPr>
                <w:rStyle w:val="row-content-rich-text"/>
              </w:rPr>
              <w:t xml:space="preserve">publication (ABS cat. no. 3303.0).</w:t>
            </w:r>
          </w:p>
          <w:p>
            <w:pPr>
              <w:spacing w:after="160"/>
            </w:pPr>
            <w:r>
              <w:rPr>
                <w:rStyle w:val="row-content-rich-text"/>
              </w:rPr>
              <w:t xml:space="preserve">Investigation conducted by the Western Australian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w:t>
            </w:r>
            <w:r>
              <w:rPr>
                <w:rStyle w:val="row-content-rich-text"/>
                <w:i/>
              </w:rPr>
              <w:t xml:space="preserve">Deaths, Australia </w:t>
            </w:r>
            <w:r>
              <w:rPr>
                <w:rStyle w:val="row-content-rich-text"/>
              </w:rPr>
              <w:t xml:space="preserve">publication, or in the 2011 COAG data supply. The Western Australian Registry corrected the data and resupplied the corrected data to the ABS. These corrected data were then released by the ABS in spreadsheets attached to </w:t>
            </w:r>
            <w:r>
              <w:rPr>
                <w:rStyle w:val="row-content-rich-text"/>
                <w:i/>
              </w:rPr>
              <w:t xml:space="preserve">Deaths, Australia, 2010 </w:t>
            </w:r>
            <w:r>
              <w:rPr>
                <w:rStyle w:val="row-content-rich-text"/>
              </w:rPr>
              <w:t xml:space="preserve">(ABS cat. no. 3302.0) publication on 24 May 2012, and are included in this round of COAG reporting.</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(for example,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2006 are subject to a revisions process. In this round of reporting, 2008, 2009 and 2010 data are final, 2011 data are revised and 2012 data are preliminary. Data for 2011 and 2012 are subject to further revisions. Prior to 2006, all ABS processing of causes of death data for a particular reference period was finalised approximately 13 months after the end of the reference period. Where insufficient information was available to code a cause of death (for example,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For further information, see Technical Note: </w:t>
            </w:r>
            <w:r>
              <w:rPr>
                <w:rStyle w:val="row-content-rich-text"/>
                <w:i/>
              </w:rPr>
              <w:t xml:space="preserve">Causes of Death Revisions 2009 and 2010 </w:t>
            </w:r>
            <w:r>
              <w:rPr>
                <w:rStyle w:val="row-content-rich-text"/>
              </w:rPr>
              <w:t xml:space="preserve">and in </w:t>
            </w:r>
            <w:r>
              <w:rPr>
                <w:rStyle w:val="row-content-rich-text"/>
                <w:i/>
              </w:rPr>
              <w:t xml:space="preserve">Causes of Death</w:t>
            </w:r>
            <w:r>
              <w:rPr>
                <w:rStyle w:val="row-content-rich-text"/>
              </w:rPr>
              <w:t xml:space="preserve">, Australia, 2011 (ABS cat.no.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w:t>
            </w:r>
            <w:hyperlink w:history="true" r:id="R2e6fc02addca482f">
              <w:r>
                <w:rPr>
                  <w:rStyle w:val="Hyperlink"/>
                </w:rPr>
                <w:t xml:space="preserve"> Demography Working Paper 1998/2 - Quarterly birth and death estimates, 1998 (ABS cat. no. 3114.0)</w:t>
              </w:r>
            </w:hyperlink>
            <w:r>
              <w:rPr>
                <w:rStyle w:val="row-content-rich-text"/>
              </w:rPr>
              <w:t xml:space="preserve"> and</w:t>
            </w:r>
            <w:hyperlink w:history="true" r:id="Rdbd0608f80124f29">
              <w:r>
                <w:rPr>
                  <w:rStyle w:val="Hyperlink"/>
                </w:rPr>
                <w:t xml:space="preserve"> Australian Demographic Statistics (ABS cat. no. 3101.0)</w:t>
              </w:r>
            </w:hyperlink>
            <w:r>
              <w:rPr>
                <w:rStyle w:val="row-content-rich-text"/>
              </w:rPr>
              <w:t xml:space="preserve">.</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2012, used in the calculation of non-Indigenous comparison rates, are preliminary estimates.</w:t>
            </w:r>
          </w:p>
          <w:p>
            <w:pPr>
              <w:spacing w:after="160"/>
            </w:pPr>
            <w:r>
              <w:rPr>
                <w:rStyle w:val="row-content-rich-text"/>
              </w:rPr>
              <w:t xml:space="preserve">Non-Indigenous data from the Causes of Death collection and Perinatal Deaths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Age-specific death rates based on a very low death count have been deemed unpublishable. Some cells may also not be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b7d3f49f374160">
              <w:r>
                <w:rPr>
                  <w:rStyle w:val="Hyperlink"/>
                </w:rPr>
                <w:t xml:space="preserve">National Indigenous Reform Agreement: PI 06-Under five mortality rate by leading cause, 2014 QS</w:t>
              </w:r>
            </w:hyperlink>
          </w:p>
          <w:p>
            <w:pPr>
              <w:pStyle w:val="registration-status"/>
              <w:spacing w:before="0" w:after="0"/>
            </w:pPr>
            <w:hyperlink w:history="true" r:id="Rf1195dc1b4ca4a66">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3f61f62f949540a8">
              <w:r>
                <w:rPr>
                  <w:rStyle w:val="Hyperlink"/>
                </w:rPr>
                <w:t xml:space="preserve">National Indigenous Reform Agreement: PI 06-Under five mortality rate by leading cause, 2015-16; Quality Statement </w:t>
              </w:r>
            </w:hyperlink>
          </w:p>
          <w:p>
            <w:pPr>
              <w:pStyle w:val="registration-status"/>
              <w:spacing w:before="0" w:after="0"/>
            </w:pPr>
            <w:hyperlink w:history="true" r:id="Rcedc347f4ade489d">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9c41f087f784312">
              <w:r>
                <w:rPr>
                  <w:rStyle w:val="Hyperlink"/>
                </w:rPr>
                <w:t xml:space="preserve">National Indigenous Reform Agreement: PI 06-Under five mortality rate by leading cause, 2015</w:t>
              </w:r>
            </w:hyperlink>
          </w:p>
          <w:p>
            <w:pPr>
              <w:pStyle w:val="registration-status"/>
              <w:spacing w:before="0" w:after="0"/>
            </w:pPr>
            <w:hyperlink w:history="true" r:id="R2a9f55da10254d79">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5c2db54941f541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593444</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531b16b6645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db54941f541fb" /><Relationship Type="http://schemas.openxmlformats.org/officeDocument/2006/relationships/header" Target="/word/header1.xml" Id="Re9a6697f7afd4141" /><Relationship Type="http://schemas.openxmlformats.org/officeDocument/2006/relationships/settings" Target="/word/settings.xml" Id="R043c9d954dbb4c39" /><Relationship Type="http://schemas.openxmlformats.org/officeDocument/2006/relationships/styles" Target="/word/styles.xml" Id="R98f2ece0206045f1" /><Relationship Type="http://schemas.openxmlformats.org/officeDocument/2006/relationships/hyperlink" Target="https://meteor.aihw.gov.au/RegistrationAuthority/6" TargetMode="External" Id="R1aa3b1d8b4cf40d4" /><Relationship Type="http://schemas.openxmlformats.org/officeDocument/2006/relationships/hyperlink" Target="http://www.abs.gov.au/websitedbs/d3310114.nsf/4a256353001af3ed4b2562bb00121564/10ca14cb967e5b83ca2573ae00197b65!OpenDocument" TargetMode="External" Id="Rdee8a5bf8f264c2b" /><Relationship Type="http://schemas.openxmlformats.org/officeDocument/2006/relationships/hyperlink" Target="http://www.abs.gov.au/AUSSTATS/abs@.nsf/mf/3101.0" TargetMode="External" Id="Rce9b984da54f4e4c" /><Relationship Type="http://schemas.openxmlformats.org/officeDocument/2006/relationships/hyperlink" Target="http://www.abs.gov.au/ausstats/abs@.nsf/mf/3303.0" TargetMode="External" Id="Re24ab8cf447d4a33" /><Relationship Type="http://schemas.openxmlformats.org/officeDocument/2006/relationships/hyperlink" Target="http://www.abs.gov.au/AUSSTATS/abs@.nsf/Lookup/3301.0Main+Features12013?OpenDocument" TargetMode="External" Id="Rf9d2c179c7aa4021" /><Relationship Type="http://schemas.openxmlformats.org/officeDocument/2006/relationships/hyperlink" Target="http://www.abs.gov.au/ausstats/abs@.nsf/mf/3101.0" TargetMode="External" Id="Rb62cc2014dc64c9b" /><Relationship Type="http://schemas.openxmlformats.org/officeDocument/2006/relationships/hyperlink" Target="http://www.abs.gov.au/ausstats/abs@.nsf/mf/3201.0" TargetMode="External" Id="Rd6ac3fed85bd4861" /><Relationship Type="http://schemas.openxmlformats.org/officeDocument/2006/relationships/hyperlink" Target="http://www.pc.gov.au/research/completed/national-agreements/indigenous-reform" TargetMode="External" Id="R948ead0cefd54415" /><Relationship Type="http://schemas.openxmlformats.org/officeDocument/2006/relationships/hyperlink" Target="http://www.abs.gov.au/AUSSTATS/abs@.nsf/ProductsbyCatalogue/B5BE54544A5DAFEFCA257061001F4540?OpenDocument" TargetMode="External" Id="R2e6fc02addca482f" /><Relationship Type="http://schemas.openxmlformats.org/officeDocument/2006/relationships/hyperlink" Target="http://www.abs.gov.au/ausstats/abs@.nsf/mf/3101.0" TargetMode="External" Id="Rdbd0608f80124f29" /><Relationship Type="http://schemas.openxmlformats.org/officeDocument/2006/relationships/hyperlink" Target="https://meteor.aihw.gov.au/content/567167" TargetMode="External" Id="Rc7b7d3f49f374160" /><Relationship Type="http://schemas.openxmlformats.org/officeDocument/2006/relationships/hyperlink" Target="https://meteor.aihw.gov.au/RegistrationAuthority/6" TargetMode="External" Id="Rf1195dc1b4ca4a66" /><Relationship Type="http://schemas.openxmlformats.org/officeDocument/2006/relationships/hyperlink" Target="https://meteor.aihw.gov.au/content/664686" TargetMode="External" Id="R3f61f62f949540a8" /><Relationship Type="http://schemas.openxmlformats.org/officeDocument/2006/relationships/hyperlink" Target="https://meteor.aihw.gov.au/RegistrationAuthority/6" TargetMode="External" Id="Rcedc347f4ade489d" /><Relationship Type="http://schemas.openxmlformats.org/officeDocument/2006/relationships/hyperlink" Target="https://meteor.aihw.gov.au/content/579074" TargetMode="External" Id="Rc9c41f087f784312" /><Relationship Type="http://schemas.openxmlformats.org/officeDocument/2006/relationships/hyperlink" Target="https://meteor.aihw.gov.au/RegistrationAuthority/6" TargetMode="External" Id="R2a9f55da10254d79" /></Relationships>
</file>

<file path=word/_rels/header1.xml.rels>&#65279;<?xml version="1.0" encoding="utf-8"?><Relationships xmlns="http://schemas.openxmlformats.org/package/2006/relationships"><Relationship Type="http://schemas.openxmlformats.org/officeDocument/2006/relationships/image" Target="/media/image.png" Id="R3a5531b16b664522" /></Relationships>
</file>