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bbad27fc5f4046" /></Relationships>
</file>

<file path=word/document.xml><?xml version="1.0" encoding="utf-8"?>
<w:document xmlns:r="http://schemas.openxmlformats.org/officeDocument/2006/relationships" xmlns:w="http://schemas.openxmlformats.org/wordprocessingml/2006/main">
  <w:body>
    <w:p>
      <w:pPr>
        <w:pStyle w:val="Title"/>
      </w:pPr>
      <w:r>
        <w:t>Service episode—service cessation reason, NDA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episode—service cessation reason, NDA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cessation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Main reason for cessation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6354897890493c">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that the person ceased to receive services from the service type outlet,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6bfb086bcb4523">
              <w:r>
                <w:rPr>
                  <w:rStyle w:val="Hyperlink"/>
                </w:rPr>
                <w:t xml:space="preserve">Service episode—service cessation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d5d8f9a0eb4618">
              <w:r>
                <w:rPr>
                  <w:rStyle w:val="Hyperlink"/>
                </w:rPr>
                <w:t xml:space="preserve">Reason for NDA service cessation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Service user no longer needs assistance - moved to mainstream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user no longer needs assistance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Service user moved to residential, institutional or supported accommodation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Service user's needs have increased - other service type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Service terminated due to budget/staffing constraints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Service terminated due to Occupational Health and Safety (OHS)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Service user moved out of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Service user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Service user terminated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Service user transitioned to National Disability Insurance Scheme (NDIS)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 client has ceased to receive services for more than one reason, record the main or primary reason for the cessation of service.</w:t>
            </w:r>
          </w:p>
          <w:p>
            <w:pPr>
              <w:spacing w:after="160"/>
            </w:pPr>
            <w:r>
              <w:rPr>
                <w:rStyle w:val="row-content-rich-text"/>
              </w:rPr>
              <w:t xml:space="preserve">CODE 1   Service user no longer needs assistance—moved to mainstream services</w:t>
            </w:r>
            <w:r>
              <w:br/>
            </w:r>
            <w:r>
              <w:rPr>
                <w:rStyle w:val="row-content-rich-text"/>
              </w:rPr>
              <w:t xml:space="preserve">The service user has moved on to mainstream services (e.g. to TAFE or further education, from employment service to paid open labour market).</w:t>
            </w:r>
          </w:p>
          <w:p>
            <w:pPr>
              <w:spacing w:after="160"/>
            </w:pPr>
            <w:r>
              <w:rPr>
                <w:rStyle w:val="row-content-rich-text"/>
              </w:rPr>
              <w:t xml:space="preserve">CODE 2   Service user no longer needs assistance—other</w:t>
            </w:r>
            <w:r>
              <w:br/>
            </w:r>
            <w:r>
              <w:rPr>
                <w:rStyle w:val="row-content-rich-text"/>
              </w:rPr>
              <w:t xml:space="preserve">The service user needs have decreased, may be managing on their own, or making use of other assistance, or the original problem has been resolved or no longer exists (e.g. a service user’s needs have decreased and they move from a high intensity respite service to a recreation program).</w:t>
            </w:r>
          </w:p>
          <w:p>
            <w:pPr>
              <w:spacing w:after="160"/>
            </w:pPr>
            <w:r>
              <w:rPr>
                <w:rStyle w:val="row-content-rich-text"/>
              </w:rPr>
              <w:t xml:space="preserve">CODE 3   Service user moved to residential, institutional or supported accommodation setting</w:t>
            </w:r>
            <w:r>
              <w:br/>
            </w:r>
            <w:r>
              <w:rPr>
                <w:rStyle w:val="row-content-rich-text"/>
              </w:rPr>
              <w:t xml:space="preserve">The service user no longer needs assistance from the service type outlet as they have moved to a residential or institutional care setting (e.g. hospital, residential aged care facility) or to supported accommodation/living facility (e.g. group home).</w:t>
            </w:r>
          </w:p>
          <w:p>
            <w:pPr>
              <w:spacing w:after="160"/>
            </w:pPr>
            <w:r>
              <w:rPr>
                <w:rStyle w:val="row-content-rich-text"/>
              </w:rPr>
              <w:t xml:space="preserve">CODE 4  Service user’s needs have increased—other service type required</w:t>
            </w:r>
            <w:r>
              <w:br/>
            </w:r>
            <w:r>
              <w:rPr>
                <w:rStyle w:val="row-content-rich-text"/>
              </w:rPr>
              <w:t xml:space="preserve">The service user’s needs have increased to the point where the service type outlet is no longer the most appropriate service type outlet.</w:t>
            </w:r>
          </w:p>
          <w:p>
            <w:pPr>
              <w:spacing w:after="160"/>
            </w:pPr>
            <w:r>
              <w:rPr>
                <w:rStyle w:val="row-content-rich-text"/>
              </w:rPr>
              <w:t xml:space="preserve">CODE 5   Service terminated due to budget/staffing constraints</w:t>
            </w:r>
            <w:r>
              <w:br/>
            </w:r>
            <w:r>
              <w:rPr>
                <w:rStyle w:val="row-content-rich-text"/>
              </w:rPr>
              <w:t xml:space="preserve">The service user’s needs have not changed but the service type outlet can no longer provide assistance due to budget or staff constraints.</w:t>
            </w:r>
          </w:p>
          <w:p>
            <w:pPr>
              <w:spacing w:after="160"/>
            </w:pPr>
            <w:r>
              <w:rPr>
                <w:rStyle w:val="row-content-rich-text"/>
              </w:rPr>
              <w:t xml:space="preserve">CODE 6   Service terminated due to Occupational Health and Safety (OHS) reasons</w:t>
            </w:r>
            <w:r>
              <w:br/>
            </w:r>
            <w:r>
              <w:rPr>
                <w:rStyle w:val="row-content-rich-text"/>
              </w:rPr>
              <w:t xml:space="preserve">Service type outlet terminated service to service user for worker (or volunteer) occupational health and safety reasons.</w:t>
            </w:r>
          </w:p>
          <w:p>
            <w:pPr>
              <w:spacing w:after="160"/>
            </w:pPr>
            <w:r>
              <w:rPr>
                <w:rStyle w:val="row-content-rich-text"/>
              </w:rPr>
              <w:t xml:space="preserve">CODE 7   Service user moved out of area</w:t>
            </w:r>
            <w:r>
              <w:br/>
            </w:r>
            <w:r>
              <w:rPr>
                <w:rStyle w:val="row-content-rich-text"/>
              </w:rPr>
              <w:t xml:space="preserve">The service user ceased to receive assistance from the service type outlet because the service user moved out of the geographic area of coverage of the service type outlet. That is, the reason the service type outlet ceased to assist the service user is primarily because of a change in the service user’s residential location and not because of any change in their need for assistance.</w:t>
            </w:r>
          </w:p>
          <w:p>
            <w:pPr>
              <w:spacing w:after="160"/>
            </w:pPr>
            <w:r>
              <w:rPr>
                <w:rStyle w:val="row-content-rich-text"/>
              </w:rPr>
              <w:t xml:space="preserve">CODE 9   Service user terminated service</w:t>
            </w:r>
            <w:r>
              <w:br/>
            </w:r>
            <w:r>
              <w:rPr>
                <w:rStyle w:val="row-content-rich-text"/>
              </w:rPr>
              <w:t xml:space="preserve">The decision to cease receiving assistance from the service type outlet is made by the service user. That is, it was the service user’s choice and not the result of any agency assessment of need or change in the service user’s external circumstances. If the service user had not made this choice they would have continued to receive assistance from the agency.</w:t>
            </w:r>
          </w:p>
          <w:p>
            <w:pPr>
              <w:spacing w:after="160"/>
            </w:pPr>
            <w:r>
              <w:rPr>
                <w:rStyle w:val="row-content-rich-text"/>
              </w:rPr>
              <w:t xml:space="preserve">CODE 10   Other</w:t>
            </w:r>
            <w:r>
              <w:br/>
            </w:r>
            <w:r>
              <w:rPr>
                <w:rStyle w:val="row-content-rich-text"/>
              </w:rPr>
              <w:t xml:space="preserve">The reason for the service user ceasing to receive assistance from the service type outlet is not listed above or is unknown. Includes the situation where a service user is no longer eligible for services due to age. ‘Other’ should only be indicated where other responses do not represent the user’s reasons for cessation of service.</w:t>
            </w:r>
          </w:p>
          <w:p>
            <w:pPr/>
            <w:r>
              <w:rPr>
                <w:rStyle w:val="row-content-rich-text"/>
              </w:rPr>
              <w:t xml:space="preserve">CODE 11   Service user transitioned to National Disability Insurance Scheme (NDIS)</w:t>
            </w:r>
            <w:r>
              <w:br/>
            </w:r>
            <w:r>
              <w:rPr>
                <w:rStyle w:val="row-content-rich-text"/>
              </w:rPr>
              <w:t xml:space="preserve">The service user has transitioned to the NDIS, that is, the service user has an approved plan and funding is available through the National Disability Insurance Agency (NDIA). This includes if a service user is receiving some component of their services from jurisdictions as ‘cash’ contributions or ‘in-kind’ contributions. </w:t>
            </w:r>
            <w:r>
              <w:rPr>
                <w:rStyle w:val="row-content-rich-text"/>
                <w:u w:val="single"/>
              </w:rPr>
              <w:t xml:space="preserve">NOTE</w:t>
            </w:r>
            <w:r>
              <w:rPr>
                <w:rStyle w:val="row-content-rich-text"/>
              </w:rPr>
              <w:t xml:space="preserve">: this code is not used by service type outlets, it is created by jurisdictions before submitting their data to the Australian Institute of Health and Welfare using information supplied to the jurisdictions by the NDIA.</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Disability Services National Minimum Data Set (DS NMDS), this data item is only answered for service users who have stopped receiving services from the service type outlet. Otherwise it is left blank.</w:t>
            </w:r>
          </w:p>
          <w:p>
            <w:pPr>
              <w:spacing w:after="160"/>
            </w:pPr>
            <w:r>
              <w:rPr>
                <w:rStyle w:val="row-content-rich-text"/>
              </w:rPr>
              <w:t xml:space="preserve">The main reason for cessation of services must relate to the service type outlet ID (and associated service type).</w:t>
            </w:r>
          </w:p>
          <w:p>
            <w:pPr>
              <w:spacing w:after="160"/>
            </w:pPr>
            <w:r>
              <w:rPr>
                <w:rStyle w:val="row-content-rich-text"/>
              </w:rPr>
              <w:t xml:space="preserve">The Service episode—episode end date, DDMMYYYY must also be completed.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Reason for cessation of service provides information about the circumstances surrounding the ending of a service user’s receipt of services from a service type outlet. This data item contributes to a general understanding of the patterns of transition and service user movements into and out of the support services. Reason for cessation of services also gives some indication of the relationship between service user turnover, factors relating to the service type outlet’s operations and changes in service user needs and circumstances.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data guide 2014–15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8fe72370e34218">
              <w:r>
                <w:rPr>
                  <w:rStyle w:val="Hyperlink"/>
                </w:rPr>
                <w:t xml:space="preserve">Service episode—service cessation reason, NDA code N[N]</w:t>
              </w:r>
            </w:hyperlink>
          </w:p>
          <w:p>
            <w:pPr>
              <w:spacing w:before="0" w:after="0"/>
            </w:pPr>
            <w:r>
              <w:rPr>
                <w:rStyle w:val="row-content"/>
                <w:color w:val="244061"/>
              </w:rPr>
              <w:t xml:space="preserve">       </w:t>
            </w:r>
            <w:hyperlink w:history="true" r:id="Rd892609d8fc54485">
              <w:r>
                <w:rPr>
                  <w:rStyle w:val="Hyperlink"/>
                  <w:color w:val="244061"/>
                </w:rPr>
                <w:t xml:space="preserve">Community Services (retired)</w:t>
              </w:r>
            </w:hyperlink>
            <w:r>
              <w:rPr>
                <w:rStyle w:val="row-content"/>
                <w:color w:val="244061"/>
              </w:rPr>
              <w:t xml:space="preserve">, Superseded 10/04/2013</w:t>
            </w:r>
          </w:p>
          <w:p>
            <w:r>
              <w:br/>
            </w:r>
            <w:r>
              <w:rPr>
                <w:rStyle w:val="row-content"/>
              </w:rPr>
              <w:t xml:space="preserve">Has been superseded by </w:t>
            </w:r>
            <w:hyperlink w:history="true" r:id="R349e276463c544e0">
              <w:r>
                <w:rPr>
                  <w:rStyle w:val="Hyperlink"/>
                </w:rPr>
                <w:t xml:space="preserve">Service episode—service cessation reason, NDA code N[N]</w:t>
              </w:r>
            </w:hyperlink>
          </w:p>
          <w:p>
            <w:pPr>
              <w:spacing w:before="0" w:after="0"/>
            </w:pPr>
            <w:r>
              <w:rPr>
                <w:rStyle w:val="row-content"/>
                <w:color w:val="244061"/>
              </w:rPr>
              <w:t xml:space="preserve">       </w:t>
            </w:r>
            <w:hyperlink w:history="true" r:id="Refb0d5fea0304403">
              <w:r>
                <w:rPr>
                  <w:rStyle w:val="Hyperlink"/>
                  <w:color w:val="244061"/>
                </w:rPr>
                <w:t xml:space="preserve">Disability</w:t>
              </w:r>
            </w:hyperlink>
            <w:r>
              <w:rPr>
                <w:rStyle w:val="row-content"/>
                <w:color w:val="244061"/>
              </w:rPr>
              <w:t xml:space="preserve">, Standard 15/12/2017</w:t>
            </w:r>
          </w:p>
          <w:p>
            <w:r>
              <w:br/>
            </w:r>
            <w:r>
              <w:rPr>
                <w:rStyle w:val="row-content"/>
              </w:rPr>
              <w:t xml:space="preserve">See also </w:t>
            </w:r>
            <w:hyperlink w:history="true" r:id="Rf0f4318d844b4ad8">
              <w:r>
                <w:rPr>
                  <w:rStyle w:val="Hyperlink"/>
                </w:rPr>
                <w:t xml:space="preserve">Service episode—service cessation reason, disability code N[N]</w:t>
              </w:r>
            </w:hyperlink>
          </w:p>
          <w:p>
            <w:pPr>
              <w:spacing w:before="0" w:after="0"/>
            </w:pPr>
            <w:r>
              <w:rPr>
                <w:rStyle w:val="row-content"/>
                <w:color w:val="244061"/>
              </w:rPr>
              <w:t xml:space="preserve">       </w:t>
            </w:r>
            <w:hyperlink w:history="true" r:id="R579ecb078e274c9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82e395f6a594137">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5f05da321746cc">
              <w:r>
                <w:rPr>
                  <w:rStyle w:val="Hyperlink"/>
                </w:rPr>
                <w:t xml:space="preserve">Disability Services NMDS 2014-15</w:t>
              </w:r>
            </w:hyperlink>
          </w:p>
          <w:p>
            <w:pPr>
              <w:spacing w:before="0" w:after="0"/>
            </w:pPr>
            <w:r>
              <w:rPr>
                <w:rStyle w:val="row-content"/>
                <w:color w:val="244061"/>
              </w:rPr>
              <w:t xml:space="preserve">       </w:t>
            </w:r>
            <w:hyperlink w:history="true" r:id="R35b0a9c85fb1453e">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Disability Services National Minimum Data Set (DS NMDS), this data item is only answered for service users who have stopped receiving services from the service type outlet and a </w:t>
            </w:r>
            <w:hyperlink w:history="true" r:id="R19eba2b724504f3a">
              <w:r>
                <w:rPr>
                  <w:rStyle w:val="Hyperlink"/>
                </w:rPr>
                <w:t xml:space="preserve">service exit date</w:t>
              </w:r>
            </w:hyperlink>
            <w:r>
              <w:rPr>
                <w:rStyle w:val="row-content"/>
              </w:rPr>
              <w:t xml:space="preserve"> must be recorded. Otherwise it is left blank.</w:t>
            </w:r>
            <w:r>
              <w:br/>
            </w:r>
            <w:r>
              <w:br/>
            </w:r>
            <w:hyperlink w:history="true" r:id="Rbd13d1866420489f">
              <w:r>
                <w:rPr>
                  <w:rStyle w:val="Hyperlink"/>
                </w:rPr>
                <w:t xml:space="preserve">Disability Services NMDS 2015–16</w:t>
              </w:r>
            </w:hyperlink>
          </w:p>
          <w:p>
            <w:pPr>
              <w:spacing w:before="0" w:after="0"/>
            </w:pPr>
            <w:r>
              <w:rPr>
                <w:rStyle w:val="row-content"/>
                <w:color w:val="244061"/>
              </w:rPr>
              <w:t xml:space="preserve">       </w:t>
            </w:r>
            <w:hyperlink w:history="true" r:id="R1d18df6c1e234666">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In the Disability Services National Minimum Data Set (DS NMDS), this data element is only answered for </w:t>
            </w:r>
            <w:hyperlink w:tooltip="A National Disability Agreement (NDA) service user is a person with a disability who received one or more NDA-funded services during the reporting period (e.g. the financial year)." w:history="true" r:id="R3ce2c9b2d5c340b3">
              <w:r>
                <w:rPr>
                  <w:rStyle w:val="Hyperlink"/>
                  <w:b/>
                </w:rPr>
                <w:t xml:space="preserve">service users</w:t>
              </w:r>
            </w:hyperlink>
            <w:r>
              <w:rPr>
                <w:rStyle w:val="row-content"/>
              </w:rPr>
              <w:t xml:space="preserve"> who have stopped receiving services from the </w:t>
            </w:r>
            <w:hyperlink w:tooltip="A service type outlet is the unit of the funded agency that delivers a particular National Disability Agreement (NDA) service type at or from a discrete location." w:history="true" r:id="R0f98d43cca0248ba">
              <w:r>
                <w:rPr>
                  <w:rStyle w:val="Hyperlink"/>
                  <w:b/>
                </w:rPr>
                <w:t xml:space="preserve">service type outlet</w:t>
              </w:r>
            </w:hyperlink>
            <w:r>
              <w:rPr>
                <w:rStyle w:val="row-content"/>
              </w:rPr>
              <w:t xml:space="preserve">. Otherwise it is left blank.</w:t>
            </w:r>
          </w:p>
          <w:p>
            <w:r>
              <w:br/>
            </w:r>
            <w:r>
              <w:rPr>
                <w:rStyle w:val="row-content"/>
                <w:b/>
                <w:i/>
              </w:rPr>
              <w:t xml:space="preserve">DSS specific information: </w:t>
            </w:r>
          </w:p>
          <w:p>
            <w:r>
              <w:rPr>
                <w:rStyle w:val="row-content"/>
              </w:rPr>
              <w:t xml:space="preserve">The '</w:t>
            </w:r>
            <w:hyperlink w:history="true" r:id="R3b4bcb9c6dd44d5b">
              <w:r>
                <w:rPr>
                  <w:rStyle w:val="Hyperlink"/>
                </w:rPr>
                <w:t xml:space="preserve">Service episode—episode end date, DDMMYYYY</w:t>
              </w:r>
            </w:hyperlink>
            <w:r>
              <w:rPr>
                <w:rStyle w:val="row-content"/>
              </w:rPr>
              <w:t xml:space="preserve">' and '</w:t>
            </w:r>
            <w:hyperlink w:history="true" r:id="R4b716fcaa82548b7">
              <w:r>
                <w:rPr>
                  <w:rStyle w:val="Hyperlink"/>
                </w:rPr>
                <w:t xml:space="preserve">Service event—last service provision date, DDMMYYYY</w:t>
              </w:r>
            </w:hyperlink>
            <w:r>
              <w:rPr>
                <w:rStyle w:val="row-content"/>
              </w:rPr>
              <w:t xml:space="preserve">' should also be completed for service users who have exited.</w:t>
            </w:r>
          </w:p>
          <w:p>
            <w:r>
              <w:br/>
            </w:r>
            <w:r>
              <w:br/>
            </w:r>
            <w:hyperlink w:history="true" r:id="R0d999a23d4b14194">
              <w:r>
                <w:rPr>
                  <w:rStyle w:val="Hyperlink"/>
                </w:rPr>
                <w:t xml:space="preserve">Disability Services NMDS 2016–17</w:t>
              </w:r>
            </w:hyperlink>
          </w:p>
          <w:p>
            <w:pPr>
              <w:spacing w:before="0" w:after="0"/>
            </w:pPr>
            <w:r>
              <w:rPr>
                <w:rStyle w:val="row-content"/>
                <w:color w:val="244061"/>
              </w:rPr>
              <w:t xml:space="preserve">       </w:t>
            </w:r>
            <w:hyperlink w:history="true" r:id="Rf868597056a245ae">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Disability Services National Minimum Data Set (DS NMDS), this data element is only answered for </w:t>
            </w:r>
            <w:hyperlink w:tooltip="A National Disability Agreement (NDA) service user is a person with a disability who received one or more NDA-funded services during the reporting period (e.g. the financial year)." w:history="true" r:id="Rcdf371a15482488a">
              <w:r>
                <w:rPr>
                  <w:rStyle w:val="Hyperlink"/>
                  <w:b/>
                </w:rPr>
                <w:t xml:space="preserve">service users</w:t>
              </w:r>
            </w:hyperlink>
            <w:r>
              <w:rPr>
                <w:rStyle w:val="row-content"/>
              </w:rPr>
              <w:t xml:space="preserve"> who have stopped receiving services from the </w:t>
            </w:r>
            <w:hyperlink w:tooltip="A service type outlet is the unit of the funded agency that delivers a particular National Disability Agreement (NDA) service type at or from a discrete location." w:history="true" r:id="R9c1128b3e0424b16">
              <w:r>
                <w:rPr>
                  <w:rStyle w:val="Hyperlink"/>
                  <w:b/>
                </w:rPr>
                <w:t xml:space="preserve">service type outlet</w:t>
              </w:r>
            </w:hyperlink>
            <w:r>
              <w:rPr>
                <w:rStyle w:val="row-content"/>
              </w:rPr>
              <w:t xml:space="preserve">. Otherwise it is left blank.</w:t>
            </w:r>
          </w:p>
          <w:p>
            <w:r>
              <w:br/>
            </w:r>
            <w:r>
              <w:rPr>
                <w:rStyle w:val="row-content"/>
                <w:b/>
                <w:i/>
              </w:rPr>
              <w:t xml:space="preserve">DSS specific information: </w:t>
            </w:r>
          </w:p>
          <w:p>
            <w:r>
              <w:rPr>
                <w:rStyle w:val="row-content"/>
              </w:rPr>
              <w:t xml:space="preserve">The '</w:t>
            </w:r>
            <w:hyperlink w:history="true" r:id="Rc52e6455aaca4836">
              <w:r>
                <w:rPr>
                  <w:rStyle w:val="Hyperlink"/>
                </w:rPr>
                <w:t xml:space="preserve">Service episode—episode end date, DDMMYYYY</w:t>
              </w:r>
            </w:hyperlink>
            <w:r>
              <w:rPr>
                <w:rStyle w:val="row-content"/>
              </w:rPr>
              <w:t xml:space="preserve">' and '</w:t>
            </w:r>
            <w:hyperlink w:history="true" r:id="R018910b8663e41ba">
              <w:r>
                <w:rPr>
                  <w:rStyle w:val="Hyperlink"/>
                </w:rPr>
                <w:t xml:space="preserve">Service event—last service provision date, DDMMYYYY</w:t>
              </w:r>
            </w:hyperlink>
            <w:r>
              <w:rPr>
                <w:rStyle w:val="row-content"/>
              </w:rPr>
              <w:t xml:space="preserve">' should also be completed for service users who have exited.</w:t>
            </w:r>
          </w:p>
          <w:p>
            <w:r>
              <w:br/>
            </w:r>
            <w:r>
              <w:br/>
            </w:r>
          </w:p>
        </w:tc>
      </w:tr>
    </w:tbl>
    <w:p/>
    <w:tbl>
      <w:tblPr>
        <w:tblStyle w:val="TableGrid"/>
        <w:tblW w:w="0" w:type="auto"/>
      </w:tblPr>
    </w:tbl>
    <w:p>
      <w:r>
        <w:br/>
      </w:r>
    </w:p>
    <w:sectPr>
      <w:footerReference xmlns:r="http://schemas.openxmlformats.org/officeDocument/2006/relationships" w:type="default" r:id="R047e18ae9d7249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587417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7552af64ff48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7e18ae9d724954" /><Relationship Type="http://schemas.openxmlformats.org/officeDocument/2006/relationships/header" Target="/word/header1.xml" Id="Rbc387151b0824ac1" /><Relationship Type="http://schemas.openxmlformats.org/officeDocument/2006/relationships/settings" Target="/word/settings.xml" Id="R775d0ea726444888" /><Relationship Type="http://schemas.openxmlformats.org/officeDocument/2006/relationships/styles" Target="/word/styles.xml" Id="R7258544ef8be45a4" /><Relationship Type="http://schemas.openxmlformats.org/officeDocument/2006/relationships/hyperlink" Target="https://meteor.aihw.gov.au/RegistrationAuthority/16" TargetMode="External" Id="Rc96354897890493c" /><Relationship Type="http://schemas.openxmlformats.org/officeDocument/2006/relationships/hyperlink" Target="https://meteor.aihw.gov.au/content/269396" TargetMode="External" Id="R246bfb086bcb4523" /><Relationship Type="http://schemas.openxmlformats.org/officeDocument/2006/relationships/hyperlink" Target="https://meteor.aihw.gov.au/content/587421" TargetMode="External" Id="Re6d5d8f9a0eb4618" /><Relationship Type="http://schemas.openxmlformats.org/officeDocument/2006/relationships/hyperlink" Target="https://meteor.aihw.gov.au/content/386527" TargetMode="External" Id="Reb8fe72370e34218" /><Relationship Type="http://schemas.openxmlformats.org/officeDocument/2006/relationships/hyperlink" Target="https://meteor.aihw.gov.au/RegistrationAuthority/1" TargetMode="External" Id="Rd892609d8fc54485" /><Relationship Type="http://schemas.openxmlformats.org/officeDocument/2006/relationships/hyperlink" Target="https://meteor.aihw.gov.au/content/680362" TargetMode="External" Id="R349e276463c544e0" /><Relationship Type="http://schemas.openxmlformats.org/officeDocument/2006/relationships/hyperlink" Target="https://meteor.aihw.gov.au/RegistrationAuthority/16" TargetMode="External" Id="Refb0d5fea0304403" /><Relationship Type="http://schemas.openxmlformats.org/officeDocument/2006/relationships/hyperlink" Target="https://meteor.aihw.gov.au/content/509846" TargetMode="External" Id="Rf0f4318d844b4ad8" /><Relationship Type="http://schemas.openxmlformats.org/officeDocument/2006/relationships/hyperlink" Target="https://meteor.aihw.gov.au/RegistrationAuthority/1" TargetMode="External" Id="R579ecb078e274c97" /><Relationship Type="http://schemas.openxmlformats.org/officeDocument/2006/relationships/hyperlink" Target="https://meteor.aihw.gov.au/RegistrationAuthority/16" TargetMode="External" Id="R982e395f6a594137" /><Relationship Type="http://schemas.openxmlformats.org/officeDocument/2006/relationships/hyperlink" Target="https://meteor.aihw.gov.au/content/569749" TargetMode="External" Id="Rb95f05da321746cc" /><Relationship Type="http://schemas.openxmlformats.org/officeDocument/2006/relationships/hyperlink" Target="https://meteor.aihw.gov.au/RegistrationAuthority/16" TargetMode="External" Id="R35b0a9c85fb1453e" /><Relationship Type="http://schemas.openxmlformats.org/officeDocument/2006/relationships/hyperlink" Target="https://meteor.aihw.gov.au/content/270160" TargetMode="External" Id="R19eba2b724504f3a" /><Relationship Type="http://schemas.openxmlformats.org/officeDocument/2006/relationships/hyperlink" Target="https://meteor.aihw.gov.au/content/617391" TargetMode="External" Id="Rbd13d1866420489f" /><Relationship Type="http://schemas.openxmlformats.org/officeDocument/2006/relationships/hyperlink" Target="https://meteor.aihw.gov.au/RegistrationAuthority/16" TargetMode="External" Id="R1d18df6c1e234666" /><Relationship Type="http://schemas.openxmlformats.org/officeDocument/2006/relationships/hyperlink" Target="https://meteor.aihw.gov.au/content/502689" TargetMode="External" Id="R3ce2c9b2d5c340b3" /><Relationship Type="http://schemas.openxmlformats.org/officeDocument/2006/relationships/hyperlink" Target="https://meteor.aihw.gov.au/content/501973" TargetMode="External" Id="R0f98d43cca0248ba" /><Relationship Type="http://schemas.openxmlformats.org/officeDocument/2006/relationships/hyperlink" Target="https://meteor.aihw.gov.au/content/270160" TargetMode="External" Id="R3b4bcb9c6dd44d5b" /><Relationship Type="http://schemas.openxmlformats.org/officeDocument/2006/relationships/hyperlink" Target="https://meteor.aihw.gov.au/content/323253" TargetMode="External" Id="R4b716fcaa82548b7" /><Relationship Type="http://schemas.openxmlformats.org/officeDocument/2006/relationships/hyperlink" Target="https://meteor.aihw.gov.au/content/637867" TargetMode="External" Id="R0d999a23d4b14194" /><Relationship Type="http://schemas.openxmlformats.org/officeDocument/2006/relationships/hyperlink" Target="https://meteor.aihw.gov.au/RegistrationAuthority/16" TargetMode="External" Id="Rf868597056a245ae" /><Relationship Type="http://schemas.openxmlformats.org/officeDocument/2006/relationships/hyperlink" Target="https://meteor.aihw.gov.au/content/502689" TargetMode="External" Id="Rcdf371a15482488a" /><Relationship Type="http://schemas.openxmlformats.org/officeDocument/2006/relationships/hyperlink" Target="https://meteor.aihw.gov.au/content/501973" TargetMode="External" Id="R9c1128b3e0424b16" /><Relationship Type="http://schemas.openxmlformats.org/officeDocument/2006/relationships/hyperlink" Target="https://meteor.aihw.gov.au/content/270160" TargetMode="External" Id="Rc52e6455aaca4836" /><Relationship Type="http://schemas.openxmlformats.org/officeDocument/2006/relationships/hyperlink" Target="https://meteor.aihw.gov.au/content/323253" TargetMode="External" Id="R018910b8663e41ba" /></Relationships>
</file>

<file path=word/_rels/header1.xml.rels>&#65279;<?xml version="1.0" encoding="utf-8"?><Relationships xmlns="http://schemas.openxmlformats.org/package/2006/relationships"><Relationship Type="http://schemas.openxmlformats.org/officeDocument/2006/relationships/image" Target="/media/image.png" Id="R697552af64ff4894" /></Relationships>
</file>