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4d923aba5e4d79"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f-Proportion of younger people entering, living in, and exiting, permanent residential aged care,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f-Proportion of younger people entering, living in, and exiting, permanent residential aged care,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5a6eb595d48d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f67fad3b88dc4581">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measure the number of younger people in residential aged care are from an administrative data collection designed for payment of subsidies to service providers.</w:t>
            </w:r>
          </w:p>
          <w:p>
            <w:pPr>
              <w:pStyle w:val="ListParagraph"/>
              <w:numPr>
                <w:ilvl w:val="0"/>
                <w:numId w:val="2"/>
              </w:numPr>
            </w:pPr>
            <w:r>
              <w:rPr>
                <w:rStyle w:val="row-content-rich-text"/>
              </w:rPr>
              <w:t xml:space="preserve">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pStyle w:val="ListParagraph"/>
              <w:numPr>
                <w:ilvl w:val="0"/>
                <w:numId w:val="2"/>
              </w:numPr>
            </w:pPr>
            <w:r>
              <w:rPr>
                <w:rStyle w:val="row-content-rich-text"/>
              </w:rPr>
              <w:t xml:space="preserve">There are issues with the consistency of the numerator and denominator for this performance indicator, as the numerator and denominator are drawn from differently defined populations and different data sources.</w:t>
            </w:r>
          </w:p>
          <w:p>
            <w:pPr>
              <w:pStyle w:val="ListParagraph"/>
              <w:numPr>
                <w:ilvl w:val="0"/>
                <w:numId w:val="2"/>
              </w:numPr>
            </w:pPr>
            <w:r>
              <w:rPr>
                <w:rStyle w:val="row-content-rich-text"/>
              </w:rPr>
              <w:t xml:space="preserve">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pStyle w:val="ListParagraph"/>
              <w:numPr>
                <w:ilvl w:val="0"/>
                <w:numId w:val="2"/>
              </w:numPr>
            </w:pPr>
            <w:r>
              <w:rPr>
                <w:rStyle w:val="row-content-rich-text"/>
              </w:rPr>
              <w:t xml:space="preserve">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Aged Care Act 1997 and the Aged Care Principles. The data for the numerator of this benchmark were prepared by the DoHA. The AIHW did not have all of the relevant datasets required to independently verify the data tables for this indicator.</w:t>
            </w:r>
          </w:p>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af63ba879caf42f4">
              <w:r>
                <w:rPr>
                  <w:rStyle w:val="Hyperlink"/>
                </w:rPr>
                <w:t xml:space="preserve">AIHW website</w:t>
              </w:r>
            </w:hyperlink>
            <w:r>
              <w:rPr>
                <w:rStyle w:val="row-content-rich-text"/>
              </w:rPr>
              <w:t xml:space="preserve">.</w:t>
            </w:r>
          </w:p>
          <w:p>
            <w:pPr/>
            <w:r>
              <w:rPr>
                <w:rStyle w:val="row-content-rich-text"/>
              </w:rPr>
              <w:t xml:space="preserve">For information on the institutional environment of the ABS, including the legislative obligations of the ABS, please see </w:t>
            </w:r>
            <w:hyperlink w:history="true" r:id="R5291e0e8dded4177">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2010-11 and 2011-12.</w:t>
            </w:r>
          </w:p>
          <w:p>
            <w:pPr>
              <w:spacing w:after="160"/>
            </w:pPr>
            <w:r>
              <w:rPr>
                <w:rStyle w:val="row-content-rich-text"/>
              </w:rPr>
              <w:t xml:space="preserve">DoHA Aged Care Data Warehouse: Claims are submitted by approved providers on a monthly basis for services delivered under residential age care, CACP, EACH and EACHD. Data for the previous financial year are available in October each year.</w:t>
            </w:r>
          </w:p>
          <w:p>
            <w:pPr>
              <w:spacing w:after="160"/>
            </w:pP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w:t>
            </w:r>
          </w:p>
          <w:p>
            <w:pPr>
              <w:spacing w:after="160"/>
            </w:pPr>
            <w:r>
              <w:rPr>
                <w:rStyle w:val="row-content-rich-text"/>
              </w:rPr>
              <w:t xml:space="preserve">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definitions used in the DoHA Aged Care Data Warehouse is available in the Aged Care Act 1997 and Aged Care Principles, and in the Residential Aged Care Manual 2009.</w:t>
            </w:r>
          </w:p>
          <w:p>
            <w:pPr/>
            <w:r>
              <w:rPr>
                <w:rStyle w:val="row-content-rich-text"/>
              </w:rPr>
              <w:t xml:space="preserve">The ABS website provides information and data on the ERP, Census Need for Assistance and SDAC profound or severe core 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assist in interpretation of the performance indicator is contained in the NDA performance indicator glossary, which accompanies these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f. Data used are from the DoHA Aged Care Data Warehouse, SDAC 2009, ERP and ABS Indigenous Population Projections. This may reduce the overall accuracy of the estimates. In particular:</w:t>
            </w:r>
          </w:p>
          <w:p>
            <w:pPr>
              <w:pStyle w:val="ListParagraph"/>
              <w:numPr>
                <w:ilvl w:val="0"/>
                <w:numId w:val="3"/>
              </w:numPr>
            </w:pPr>
            <w:r>
              <w:rPr>
                <w:rStyle w:val="row-content-rich-text"/>
              </w:rPr>
              <w:t xml:space="preserve">Data from DoHA aged care data warehouse, ERP June 2010, ERP June 2009, ERP June 2008, ERP June 2007, and Census 2006 cover all geographical areas of Australia, whereas the SDAC 2009 does not cover very remote areas nor Indigenous communities.</w:t>
            </w:r>
          </w:p>
          <w:p>
            <w:pPr>
              <w:pStyle w:val="ListParagraph"/>
              <w:numPr>
                <w:ilvl w:val="0"/>
                <w:numId w:val="3"/>
              </w:numPr>
            </w:pPr>
            <w:r>
              <w:rPr>
                <w:rStyle w:val="row-content-rich-text"/>
              </w:rPr>
              <w:t xml:space="preserve">Data from the SDAC 2009 does not cover very remote areas nor Indigenous communities, whereas the other data sources cover all geographical areas of Australia.</w:t>
            </w:r>
          </w:p>
          <w:p>
            <w:pPr>
              <w:pStyle w:val="ListParagraph"/>
              <w:numPr>
                <w:ilvl w:val="0"/>
                <w:numId w:val="3"/>
              </w:numPr>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pStyle w:val="ListParagraph"/>
              <w:numPr>
                <w:ilvl w:val="0"/>
                <w:numId w:val="3"/>
              </w:numPr>
            </w:pPr>
            <w:r>
              <w:rPr>
                <w:rStyle w:val="row-content-rich-text"/>
              </w:rPr>
              <w:t xml:space="preserve">The use of national level SDAC 2009 age-sex specific potential population rates assumes these rates to be consistent across States/Territories. This assumption is untested.</w:t>
            </w:r>
          </w:p>
          <w:p>
            <w:pPr>
              <w:pStyle w:val="ListParagraph"/>
              <w:numPr>
                <w:ilvl w:val="0"/>
                <w:numId w:val="3"/>
              </w:numPr>
            </w:pPr>
            <w:r>
              <w:rPr>
                <w:rStyle w:val="row-content-rich-text"/>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rPr>
                <w:rStyle w:val="row-content-rich-text"/>
              </w:rPr>
              <w:t xml:space="preserve"> </w:t>
            </w:r>
          </w:p>
          <w:p>
            <w:pPr/>
            <w:r>
              <w:rPr>
                <w:rStyle w:val="row-content-rich-text"/>
              </w:rPr>
              <w:t xml:space="preserve">The DoHA aged care data warehouse provides complete coverage of aged care services funded by the Australian Government under residential age care, Community Aged Care Packages (CACP), Extended Aged Care at Home (EACH), and Extended Age Care at Home Dementia (EACHD)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calculate the numerator of this benchmark are from an administrative data collection designed for payment of subsidies to service providers and have accurate data on the number and location of funded aged care places. Being a sample survey, estimates from the SDAC 2009 are subject to sampling variability. A measure of the sampling variability, the relative standard error (RSE) per cent, is estimated below for the age-sex specific rates of severe/profound core activity limitation.</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tblGrid>
            <w:tr>
              <w:trPr/>
              <w:tc>
                <w:tcPr>
                  <w:tcW w:w="2100" w:type="pct"/>
                  <w:vAlign w:val="top"/>
                </w:tcPr>
                <w:p>
                  <w:pPr/>
                  <w:r>
                    <w:rPr>
                      <w:rStyle w:val="row-content-rich-text"/>
                    </w:rPr>
                    <w:t xml:space="preserve"> </w:t>
                  </w:r>
                  <w:r>
                    <w:rPr>
                      <w:rStyle w:val="row-content-rich-text"/>
                    </w:rPr>
                    <w:t xml:space="preserve">Age group (years)</w:t>
                  </w:r>
                </w:p>
              </w:tc>
              <w:tc>
                <w:tcPr>
                  <w:tcW w:w="1450" w:type="pct"/>
                  <w:vAlign w:val="top"/>
                </w:tcPr>
                <w:p>
                  <w:r>
                    <w:t xml:space="preserve">Male      </w:t>
                  </w:r>
                </w:p>
              </w:tc>
              <w:tc>
                <w:tcPr>
                  <w:tcW w:w="1400" w:type="pct"/>
                  <w:vAlign w:val="top"/>
                </w:tcPr>
                <w:p>
                  <w:r>
                    <w:t xml:space="preserve">Female</w:t>
                  </w:r>
                </w:p>
              </w:tc>
            </w:tr>
            <w:tr>
              <w:trPr/>
              <w:tc>
                <w:tcPr>
                  <w:tcW w:w="2100" w:type="pct"/>
                  <w:vAlign w:val="top"/>
                </w:tcPr>
                <w:p>
                  <w:r>
                    <w:t xml:space="preserve">0-9</w:t>
                  </w:r>
                </w:p>
              </w:tc>
              <w:tc>
                <w:tcPr>
                  <w:tcW w:w="1450" w:type="pct"/>
                  <w:vAlign w:val="top"/>
                </w:tcPr>
                <w:p>
                  <w:r>
                    <w:t xml:space="preserve">7.0</w:t>
                  </w:r>
                </w:p>
              </w:tc>
              <w:tc>
                <w:tcPr>
                  <w:tcW w:w="1400" w:type="pct"/>
                  <w:vAlign w:val="top"/>
                </w:tcPr>
                <w:p>
                  <w:r>
                    <w:t xml:space="preserve">8.3</w:t>
                  </w:r>
                </w:p>
              </w:tc>
            </w:tr>
            <w:tr>
              <w:trPr/>
              <w:tc>
                <w:tcPr>
                  <w:tcW w:w="2100" w:type="pct"/>
                  <w:vAlign w:val="top"/>
                </w:tcPr>
                <w:p>
                  <w:r>
                    <w:t xml:space="preserve">10-14</w:t>
                  </w:r>
                </w:p>
              </w:tc>
              <w:tc>
                <w:tcPr>
                  <w:tcW w:w="1450" w:type="pct"/>
                  <w:vAlign w:val="top"/>
                </w:tcPr>
                <w:p>
                  <w:r>
                    <w:t xml:space="preserve">8.5</w:t>
                  </w:r>
                </w:p>
              </w:tc>
              <w:tc>
                <w:tcPr>
                  <w:tcW w:w="1400" w:type="pct"/>
                  <w:vAlign w:val="top"/>
                </w:tcPr>
                <w:p>
                  <w:r>
                    <w:t xml:space="preserve">15.3</w:t>
                  </w:r>
                </w:p>
              </w:tc>
            </w:tr>
            <w:tr>
              <w:trPr/>
              <w:tc>
                <w:tcPr>
                  <w:tcW w:w="2100" w:type="pct"/>
                  <w:vAlign w:val="top"/>
                </w:tcPr>
                <w:p>
                  <w:r>
                    <w:t xml:space="preserve">15-24</w:t>
                  </w:r>
                </w:p>
              </w:tc>
              <w:tc>
                <w:tcPr>
                  <w:tcW w:w="1450" w:type="pct"/>
                  <w:vAlign w:val="top"/>
                </w:tcPr>
                <w:p>
                  <w:r>
                    <w:t xml:space="preserve">11.3</w:t>
                  </w:r>
                </w:p>
              </w:tc>
              <w:tc>
                <w:tcPr>
                  <w:tcW w:w="1400" w:type="pct"/>
                  <w:vAlign w:val="top"/>
                </w:tcPr>
                <w:p>
                  <w:r>
                    <w:t xml:space="preserve">12.8</w:t>
                  </w:r>
                </w:p>
              </w:tc>
            </w:tr>
            <w:tr>
              <w:trPr/>
              <w:tc>
                <w:tcPr>
                  <w:tcW w:w="2100" w:type="pct"/>
                  <w:vAlign w:val="top"/>
                </w:tcPr>
                <w:p>
                  <w:r>
                    <w:t xml:space="preserve">25-34</w:t>
                  </w:r>
                </w:p>
              </w:tc>
              <w:tc>
                <w:tcPr>
                  <w:tcW w:w="1450" w:type="pct"/>
                  <w:vAlign w:val="top"/>
                </w:tcPr>
                <w:p>
                  <w:r>
                    <w:t xml:space="preserve">10.5</w:t>
                  </w:r>
                </w:p>
              </w:tc>
              <w:tc>
                <w:tcPr>
                  <w:tcW w:w="1400" w:type="pct"/>
                  <w:vAlign w:val="top"/>
                </w:tcPr>
                <w:p>
                  <w:r>
                    <w:t xml:space="preserve">10.8</w:t>
                  </w:r>
                </w:p>
              </w:tc>
            </w:tr>
            <w:tr>
              <w:trPr/>
              <w:tc>
                <w:tcPr>
                  <w:tcW w:w="2100" w:type="pct"/>
                  <w:vAlign w:val="top"/>
                </w:tcPr>
                <w:p>
                  <w:r>
                    <w:t xml:space="preserve">35-44</w:t>
                  </w:r>
                </w:p>
              </w:tc>
              <w:tc>
                <w:tcPr>
                  <w:tcW w:w="1450" w:type="pct"/>
                  <w:vAlign w:val="top"/>
                </w:tcPr>
                <w:p>
                  <w:r>
                    <w:t xml:space="preserve">12.1</w:t>
                  </w:r>
                </w:p>
              </w:tc>
              <w:tc>
                <w:tcPr>
                  <w:tcW w:w="1400" w:type="pct"/>
                  <w:vAlign w:val="top"/>
                </w:tcPr>
                <w:p>
                  <w:r>
                    <w:t xml:space="preserve">11.5</w:t>
                  </w:r>
                </w:p>
              </w:tc>
            </w:tr>
            <w:tr>
              <w:trPr/>
              <w:tc>
                <w:tcPr>
                  <w:tcW w:w="2100" w:type="pct"/>
                  <w:vAlign w:val="top"/>
                </w:tcPr>
                <w:p>
                  <w:r>
                    <w:t xml:space="preserve">45-49</w:t>
                  </w:r>
                </w:p>
              </w:tc>
              <w:tc>
                <w:tcPr>
                  <w:tcW w:w="1450" w:type="pct"/>
                  <w:vAlign w:val="top"/>
                </w:tcPr>
                <w:p>
                  <w:r>
                    <w:t xml:space="preserve">15.8</w:t>
                  </w:r>
                </w:p>
              </w:tc>
              <w:tc>
                <w:tcPr>
                  <w:tcW w:w="1400" w:type="pct"/>
                  <w:vAlign w:val="top"/>
                </w:tcPr>
                <w:p>
                  <w:r>
                    <w:t xml:space="preserve">14.4</w:t>
                  </w:r>
                </w:p>
              </w:tc>
            </w:tr>
            <w:tr>
              <w:trPr/>
              <w:tc>
                <w:tcPr>
                  <w:tcW w:w="2100" w:type="pct"/>
                  <w:vAlign w:val="top"/>
                </w:tcPr>
                <w:p>
                  <w:r>
                    <w:t xml:space="preserve">50-54</w:t>
                  </w:r>
                </w:p>
              </w:tc>
              <w:tc>
                <w:tcPr>
                  <w:tcW w:w="1450" w:type="pct"/>
                  <w:vAlign w:val="top"/>
                </w:tcPr>
                <w:p>
                  <w:r>
                    <w:t xml:space="preserve">19.1</w:t>
                  </w:r>
                </w:p>
              </w:tc>
              <w:tc>
                <w:tcPr>
                  <w:tcW w:w="1400" w:type="pct"/>
                  <w:vAlign w:val="top"/>
                </w:tcPr>
                <w:p>
                  <w:r>
                    <w:t xml:space="preserve">15.5</w:t>
                  </w:r>
                </w:p>
              </w:tc>
            </w:tr>
            <w:tr>
              <w:trPr/>
              <w:tc>
                <w:tcPr>
                  <w:tcW w:w="2100" w:type="pct"/>
                  <w:vAlign w:val="top"/>
                </w:tcPr>
                <w:p>
                  <w:r>
                    <w:t xml:space="preserve">55-64</w:t>
                  </w:r>
                </w:p>
              </w:tc>
              <w:tc>
                <w:tcPr>
                  <w:tcW w:w="1450" w:type="pct"/>
                  <w:vAlign w:val="top"/>
                </w:tcPr>
                <w:p>
                  <w:r>
                    <w:t xml:space="preserve">4.3</w:t>
                  </w:r>
                </w:p>
              </w:tc>
              <w:tc>
                <w:tcPr>
                  <w:tcW w:w="1400" w:type="pct"/>
                  <w:vAlign w:val="top"/>
                </w:tcPr>
                <w:p>
                  <w:r>
                    <w:t xml:space="preserve">10.8</w:t>
                  </w:r>
                </w:p>
              </w:tc>
            </w:tr>
          </w:tbl>
          <w:p>
            <w:r>
              <w:t xml:space="preserve"> </w:t>
            </w:r>
          </w:p>
          <w:p>
            <w:r>
              <w:t xml:space="preserve">Source: Disability, Ageing and Carers, 2009 unpublished data.</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f9404a019cbf48f8">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DoHA aged care data used to construct the numerator of this benchmark are consistent and comparable over time. For measure f i, there are issues with the consistency of the numerator and denominator, as the numerator and denominator are drawn from differently defined populations and different data sources. These issues reduce the consistency of the performance indicators and lead to quality issues.</w:t>
            </w:r>
          </w:p>
          <w:p>
            <w:pPr/>
            <w:r>
              <w:rPr>
                <w:rStyle w:val="row-content-rich-text"/>
              </w:rPr>
              <w:t xml:space="preserve">While the numerator is taken from the DoHA aged care data warehouse, the denominator is an estimate derived from SDAC and ERP data. In the denominator, ‘estimated potential population for specialist disability services’ is defined as the estimated population with requiring, or entitled to, disability services. However, this does not match well with the numerator, which consists of people who used specialist residential aged care services. People who used these services may have a mild or moderate core activity limitation or limitations in other activities.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d03a211204a4ee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6a2d065b9ab42a4">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48eac1e796bf473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57455a34e64923">
              <w:r>
                <w:rPr>
                  <w:rStyle w:val="Hyperlink"/>
                  <w:color w:val="244061"/>
                </w:rPr>
                <w:t xml:space="preserve">Disability</w:t>
              </w:r>
            </w:hyperlink>
            <w:r>
              <w:rPr>
                <w:rStyle w:val="row-content"/>
                <w:color w:val="244061"/>
              </w:rPr>
              <w:t xml:space="preserve">, Standard 13/08/2015</w:t>
            </w:r>
          </w:p>
          <w:p>
            <w:r>
              <w:br/>
            </w:r>
            <w:hyperlink w:history="true" r:id="R69ee7df7e7d94559">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3fbb4dff80934e8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44c2bfd28c4586">
              <w:r>
                <w:rPr>
                  <w:rStyle w:val="Hyperlink"/>
                  <w:color w:val="244061"/>
                </w:rPr>
                <w:t xml:space="preserve">Disability</w:t>
              </w:r>
            </w:hyperlink>
            <w:r>
              <w:rPr>
                <w:rStyle w:val="row-content"/>
                <w:color w:val="244061"/>
              </w:rPr>
              <w:t xml:space="preserve">, Standard 13/08/2015</w:t>
            </w:r>
          </w:p>
          <w:p>
            <w:r>
              <w:br/>
            </w:r>
            <w:hyperlink w:history="true" r:id="R69f0926d10fa43b1">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25040dbaab314c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7757289d61e493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898b5d8a9f5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cc5ec4461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8b5d8a9f542df" /><Relationship Type="http://schemas.openxmlformats.org/officeDocument/2006/relationships/header" Target="/word/header1.xml" Id="R21158d89baf34ced" /><Relationship Type="http://schemas.openxmlformats.org/officeDocument/2006/relationships/settings" Target="/word/settings.xml" Id="R76221da1e66f44ac" /><Relationship Type="http://schemas.openxmlformats.org/officeDocument/2006/relationships/styles" Target="/word/styles.xml" Id="Rd87cba04e6e74eb5" /><Relationship Type="http://schemas.openxmlformats.org/officeDocument/2006/relationships/hyperlink" Target="https://meteor.aihw.gov.au/RegistrationAuthority/1" TargetMode="External" Id="Rf205a6eb595d48da" /><Relationship Type="http://schemas.openxmlformats.org/officeDocument/2006/relationships/hyperlink" Target="https://meteor.aihw.gov.au/RegistrationAuthority/16" TargetMode="External" Id="Rf67fad3b88dc4581" /><Relationship Type="http://schemas.openxmlformats.org/officeDocument/2006/relationships/numbering" Target="/word/numbering.xml" Id="R652513d51d084180" /><Relationship Type="http://schemas.openxmlformats.org/officeDocument/2006/relationships/hyperlink" Target="http://www.aihw.gov.au/" TargetMode="External" Id="Raf63ba879caf42f4" /><Relationship Type="http://schemas.openxmlformats.org/officeDocument/2006/relationships/hyperlink" Target="http://www.abs.gov.au/Websitedbs/d3310114.nsf/4a256353001af3ed4b2562bb00121564/10ca14cb967e5b83ca2573ae00197b65!OpenDocument" TargetMode="External" Id="R5291e0e8dded4177" /><Relationship Type="http://schemas.openxmlformats.org/officeDocument/2006/relationships/hyperlink" Target="http://www.abs.gov.au/websitedbs/D3310114.nsf/home/Census+Data+Quality" TargetMode="External" Id="Rf9404a019cbf48f8" /><Relationship Type="http://schemas.openxmlformats.org/officeDocument/2006/relationships/hyperlink" Target="https://meteor.aihw.gov.au/content/367581" TargetMode="External" Id="R4d03a211204a4ee0" /><Relationship Type="http://schemas.openxmlformats.org/officeDocument/2006/relationships/hyperlink" Target="https://meteor.aihw.gov.au/content/491949" TargetMode="External" Id="Rc6a2d065b9ab42a4" /><Relationship Type="http://schemas.openxmlformats.org/officeDocument/2006/relationships/hyperlink" Target="https://meteor.aihw.gov.au/RegistrationAuthority/1" TargetMode="External" Id="R48eac1e796bf4732" /><Relationship Type="http://schemas.openxmlformats.org/officeDocument/2006/relationships/hyperlink" Target="https://meteor.aihw.gov.au/RegistrationAuthority/16" TargetMode="External" Id="R9a57455a34e64923" /><Relationship Type="http://schemas.openxmlformats.org/officeDocument/2006/relationships/hyperlink" Target="https://meteor.aihw.gov.au/content/491951" TargetMode="External" Id="R69ee7df7e7d94559" /><Relationship Type="http://schemas.openxmlformats.org/officeDocument/2006/relationships/hyperlink" Target="https://meteor.aihw.gov.au/RegistrationAuthority/1" TargetMode="External" Id="R3fbb4dff80934e82" /><Relationship Type="http://schemas.openxmlformats.org/officeDocument/2006/relationships/hyperlink" Target="https://meteor.aihw.gov.au/RegistrationAuthority/16" TargetMode="External" Id="Rd844c2bfd28c4586" /><Relationship Type="http://schemas.openxmlformats.org/officeDocument/2006/relationships/hyperlink" Target="https://meteor.aihw.gov.au/content/518794" TargetMode="External" Id="R69f0926d10fa43b1" /><Relationship Type="http://schemas.openxmlformats.org/officeDocument/2006/relationships/hyperlink" Target="https://meteor.aihw.gov.au/RegistrationAuthority/1" TargetMode="External" Id="R25040dbaab314c34" /><Relationship Type="http://schemas.openxmlformats.org/officeDocument/2006/relationships/hyperlink" Target="https://meteor.aihw.gov.au/RegistrationAuthority/16" TargetMode="External" Id="Re7757289d61e4935" /></Relationships>
</file>

<file path=word/_rels/header1.xml.rels>&#65279;<?xml version="1.0" encoding="utf-8"?><Relationships xmlns="http://schemas.openxmlformats.org/package/2006/relationships"><Relationship Type="http://schemas.openxmlformats.org/officeDocument/2006/relationships/image" Target="/media/image.png" Id="Rd3ccc5ec44614ffd" /></Relationships>
</file>