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fc9ae199b34e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e5c90809f4c8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e6430931203941a0">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Australian data with data from previous years. The estimates of 2010 and 2011 incidence in NSW and ACT cannot be disaggregated by Indigenous status, remoteness area or socioeconomic status. The Australian totals for these tables do not include NSW and ACT.</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p>
            <w:pPr>
              <w:pStyle w:val="ListParagraph"/>
              <w:numPr>
                <w:ilvl w:val="0"/>
                <w:numId w:val="2"/>
              </w:numPr>
            </w:pPr>
            <w:r>
              <w:rPr>
                <w:rStyle w:val="row-content-rich-text"/>
              </w:rPr>
              <w:t xml:space="preserve">Incidence rates based on counts of between 1 and 4 persons have been suppressed because of statistical unreliability (relative standard error ≥ 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2015 COAG Reform Council report are based on cancers diagnosed in 2007–2011, noting that cancers for 2010 and 2011 in NSW and ACT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summary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 More specialised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035014c67851422a">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Total data with data from previous years. The estimates of 2010 and 2011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The 2009 incidence data for NSW and the ACT provided to the AIHW excluded the provisional death-certificate-only cases. The reason the provisional DCO cases were not available is explained on the web page </w:t>
            </w:r>
            <w:hyperlink w:history="true" r:id="R5ddb841e903f4d73">
              <w:r>
                <w:rPr>
                  <w:rStyle w:val="Hyperlink"/>
                </w:rPr>
                <w:t xml:space="preserve">http://www.cancerinstitute.org.au/data-and-statistics/accessing-our-data/availability-of-nsw-central-cancer-registry-data</w:t>
              </w:r>
            </w:hyperlink>
            <w:r>
              <w:rPr>
                <w:rStyle w:val="row-content-rich-text"/>
              </w:rPr>
              <w:t xml:space="preserve">. The AIHW has estimated the number of provisional DCO cases in 2009 for each cancer, sex and age group based on the numbers observed for 2004–2008. Overall for the five cancers covered in the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 As stated above, 2010 and 2011 incidence data for NSW are estimated and Indigenous status for these estimates is not available. Therefore, in 2010 and 2011 the ‘total’ column in Table 2.2 excludes NSW and the figures therein cannot be compared to their pre-2010 counterparts.</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2011 census, SA2 boundaries may have changed over time and these can create inaccuracies.</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Incidence rates based on counts of between 1 and 4 persons have been suppressed because of statistical unreliability (relative standard error ≥ 50%).</w:t>
            </w:r>
          </w:p>
          <w:p>
            <w:pPr/>
            <w:r>
              <w:rPr>
                <w:rStyle w:val="row-content-rich-text"/>
              </w:rPr>
              <w:t xml:space="preserve">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e6b5f3c0346fe">
              <w:r>
                <w:rPr>
                  <w:rStyle w:val="Hyperlink"/>
                </w:rPr>
                <w:t xml:space="preserve">National Healthcare Agreement: PI 02-Incidence of selected cancers, 2014 QS</w:t>
              </w:r>
            </w:hyperlink>
          </w:p>
          <w:p>
            <w:pPr>
              <w:pStyle w:val="registration-status"/>
              <w:spacing w:before="0" w:after="0"/>
            </w:pPr>
            <w:hyperlink w:history="true" r:id="R48d91f750fe0482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b90609780e64750">
              <w:r>
                <w:rPr>
                  <w:rStyle w:val="Hyperlink"/>
                </w:rPr>
                <w:t xml:space="preserve">National Healthcare Agreement: PI 02-Incidence of selected cancers, 2016 QS</w:t>
              </w:r>
            </w:hyperlink>
          </w:p>
          <w:p>
            <w:pPr>
              <w:pStyle w:val="registration-status"/>
              <w:spacing w:before="0" w:after="0"/>
            </w:pPr>
            <w:hyperlink w:history="true" r:id="Rd1961d5ccf4e4e2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7b4a1ff51224ac9">
              <w:r>
                <w:rPr>
                  <w:rStyle w:val="Hyperlink"/>
                </w:rPr>
                <w:t xml:space="preserve">National Healthcare Agreement: PI 02-Incidence of selected cancers, 2015</w:t>
              </w:r>
            </w:hyperlink>
          </w:p>
          <w:p>
            <w:pPr>
              <w:pStyle w:val="registration-status"/>
              <w:spacing w:before="0" w:after="0"/>
            </w:pPr>
            <w:hyperlink w:history="true" r:id="Rb3867304f4d44c5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4fb4d2c77e6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1723b63a0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b4d2c77e64647" /><Relationship Type="http://schemas.openxmlformats.org/officeDocument/2006/relationships/header" Target="/word/header1.xml" Id="R49357b3b8a1e4e6a" /><Relationship Type="http://schemas.openxmlformats.org/officeDocument/2006/relationships/settings" Target="/word/settings.xml" Id="R41543b3407114f64" /><Relationship Type="http://schemas.openxmlformats.org/officeDocument/2006/relationships/styles" Target="/word/styles.xml" Id="Rbf2f0184cb7b4554" /><Relationship Type="http://schemas.openxmlformats.org/officeDocument/2006/relationships/numbering" Target="/word/numbering.xml" Id="Rb49df633536c4824" /><Relationship Type="http://schemas.openxmlformats.org/officeDocument/2006/relationships/hyperlink" Target="https://meteor.aihw.gov.au/RegistrationAuthority/12" TargetMode="External" Id="R654e5c90809f4c80" /><Relationship Type="http://schemas.openxmlformats.org/officeDocument/2006/relationships/hyperlink" Target="http://www.cancerinstitute.org.au/data-and-statistics/accessing-our-data/availability-of-nsw-central-cancer-registry-data" TargetMode="External" Id="Re6430931203941a0" /><Relationship Type="http://schemas.openxmlformats.org/officeDocument/2006/relationships/hyperlink" Target="http://www.cancerinstitute.org.au/data-and-statistics/accessing-our-data/availability-of-nsw-central-cancer-registry-data" TargetMode="External" Id="R035014c67851422a" /><Relationship Type="http://schemas.openxmlformats.org/officeDocument/2006/relationships/hyperlink" Target="http://www.cancerinstitute.org.au/data-and-statistics/accessing-our-data/availability-of-nsw-central-cancer-registry-data" TargetMode="External" Id="R5ddb841e903f4d73" /><Relationship Type="http://schemas.openxmlformats.org/officeDocument/2006/relationships/hyperlink" Target="https://meteor.aihw.gov.au/content/517768" TargetMode="External" Id="Rae5e6b5f3c0346fe" /><Relationship Type="http://schemas.openxmlformats.org/officeDocument/2006/relationships/hyperlink" Target="https://meteor.aihw.gov.au/RegistrationAuthority/12" TargetMode="External" Id="R48d91f750fe04820" /><Relationship Type="http://schemas.openxmlformats.org/officeDocument/2006/relationships/hyperlink" Target="https://meteor.aihw.gov.au/content/600076" TargetMode="External" Id="R2b90609780e64750" /><Relationship Type="http://schemas.openxmlformats.org/officeDocument/2006/relationships/hyperlink" Target="https://meteor.aihw.gov.au/RegistrationAuthority/12" TargetMode="External" Id="Rd1961d5ccf4e4e27" /><Relationship Type="http://schemas.openxmlformats.org/officeDocument/2006/relationships/hyperlink" Target="https://meteor.aihw.gov.au/content/559064" TargetMode="External" Id="R17b4a1ff51224ac9" /><Relationship Type="http://schemas.openxmlformats.org/officeDocument/2006/relationships/hyperlink" Target="https://meteor.aihw.gov.au/RegistrationAuthority/12" TargetMode="External" Id="Rb3867304f4d44c5d" /></Relationships>
</file>

<file path=word/_rels/header1.xml.rels>&#65279;<?xml version="1.0" encoding="utf-8"?><Relationships xmlns="http://schemas.openxmlformats.org/package/2006/relationships"><Relationship Type="http://schemas.openxmlformats.org/officeDocument/2006/relationships/image" Target="/media/image.png" Id="R2511723b63a04a22" /></Relationships>
</file>