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5a9481e894e41c3" /></Relationships>
</file>

<file path=word/document.xml><?xml version="1.0" encoding="utf-8"?>
<w:document xmlns:r="http://schemas.openxmlformats.org/officeDocument/2006/relationships" xmlns:w="http://schemas.openxmlformats.org/wordprocessingml/2006/main">
  <w:body>
    <w:p>
      <w:pPr>
        <w:pStyle w:val="Title"/>
      </w:pPr>
      <w:r>
        <w:t>Recurrent contracted care expenditure data element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Recurrent contracted care expenditure data element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552604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650538a350b42a2">
              <w:r>
                <w:rPr>
                  <w:rStyle w:val="Hyperlink"/>
                  <w:color w:val="244061"/>
                </w:rPr>
                <w:t xml:space="preserve">Health</w:t>
              </w:r>
            </w:hyperlink>
            <w:r>
              <w:rPr>
                <w:rStyle w:val="row-content"/>
                <w:color w:val="244061"/>
              </w:rPr>
              <w:t xml:space="preserve">, Superseded 20/05/2015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These data elements are used in conjunction with each other to describe recurrent contracted care expenditure broken down by National Health Reform Agreement (2011) product streams in establishments.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All data reported in this cluster are estimated.</w:t>
            </w:r>
          </w:p>
          <w:p>
            <w:pPr>
              <w:spacing w:after="160"/>
            </w:pPr>
            <w:r>
              <w:rPr>
                <w:rStyle w:val="row-content-rich-text"/>
              </w:rPr>
              <w:t xml:space="preserve">The Recurrent contracted care expenditure data element cluster comprises two data elements that describe recurrent contracted care expenditure by National Health Reform Agreement product streams by an establishment.</w:t>
            </w:r>
          </w:p>
          <w:p>
            <w:pPr>
              <w:spacing w:after="160"/>
            </w:pPr>
            <w:r>
              <w:rPr>
                <w:rStyle w:val="row-content-rich-text"/>
              </w:rPr>
              <w:t xml:space="preserve">The Recurrent contracted care expenditure data element cluster describes the following information for an establishment:</w:t>
            </w:r>
          </w:p>
          <w:tbl>
            <w:tblPr>
              <w:tblStyle w:val="TableGrid"/>
              <w:tblW w:w="5000" w:type="pct"/>
              <w:tblLayout w:type="autofit"/>
            </w:tblPr>
            <w:tblGrid>
              <w:gridCol/>
              <w:gridCol/>
            </w:tblGrid>
            <w:tr>
              <w:trPr/>
              <w:tc>
                <w:tcPr>
                  <w:tcW w:w="4000" w:type="pct"/>
                  <w:vAlign w:val="top"/>
                </w:tcPr>
                <w:p>
                  <w:pPr/>
                  <w:r>
                    <w:rPr>
                      <w:rStyle w:val="row-content-rich-text"/>
                      <w:b/>
                    </w:rPr>
                    <w:t xml:space="preserve">Product stream </w:t>
                  </w:r>
                </w:p>
              </w:tc>
              <w:tc>
                <w:tcPr>
                  <w:tcW w:w="1000" w:type="pct"/>
                  <w:vAlign w:val="top"/>
                </w:tcPr>
                <w:p>
                  <w:r>
                    <w:rPr>
                      <w:b/>
                    </w:rPr>
                    <w:t xml:space="preserve">Total Australian dollars</w:t>
                  </w:r>
                </w:p>
              </w:tc>
            </w:tr>
            <w:tr>
              <w:trPr/>
              <w:tc>
                <w:tcPr>
                  <w:tcW w:w="4000" w:type="pct"/>
                  <w:vAlign w:val="top"/>
                </w:tcPr>
                <w:p>
                  <w:r>
                    <w:t xml:space="preserve">Admitted acute</w:t>
                  </w:r>
                </w:p>
              </w:tc>
              <w:tc>
                <w:tcPr>
                  <w:tcW w:w="1000" w:type="pct"/>
                  <w:vAlign w:val="top"/>
                </w:tcPr>
                <w:p>
                  <w:r>
                    <w:t xml:space="preserve">N(8)</w:t>
                  </w:r>
                </w:p>
              </w:tc>
            </w:tr>
            <w:tr>
              <w:trPr/>
              <w:tc>
                <w:tcPr>
                  <w:tcW w:w="4000" w:type="pct"/>
                  <w:vAlign w:val="top"/>
                </w:tcPr>
                <w:p>
                  <w:r>
                    <w:t xml:space="preserve">Admitted subacute</w:t>
                  </w:r>
                </w:p>
              </w:tc>
              <w:tc>
                <w:tcPr>
                  <w:tcW w:w="1000" w:type="pct"/>
                  <w:vAlign w:val="top"/>
                </w:tcPr>
                <w:p>
                  <w:r>
                    <w:t xml:space="preserve">N(8)</w:t>
                  </w:r>
                </w:p>
              </w:tc>
            </w:tr>
            <w:tr>
              <w:trPr/>
              <w:tc>
                <w:tcPr>
                  <w:tcW w:w="4000" w:type="pct"/>
                  <w:vAlign w:val="top"/>
                </w:tcPr>
                <w:p>
                  <w:r>
                    <w:t xml:space="preserve">Other admitted</w:t>
                  </w:r>
                </w:p>
              </w:tc>
              <w:tc>
                <w:tcPr>
                  <w:tcW w:w="1000" w:type="pct"/>
                  <w:vAlign w:val="top"/>
                </w:tcPr>
                <w:p>
                  <w:r>
                    <w:t xml:space="preserve">N(8)</w:t>
                  </w:r>
                </w:p>
              </w:tc>
            </w:tr>
            <w:tr>
              <w:trPr/>
              <w:tc>
                <w:tcPr>
                  <w:tcW w:w="4000" w:type="pct"/>
                  <w:vAlign w:val="top"/>
                </w:tcPr>
                <w:p>
                  <w:r>
                    <w:t xml:space="preserve">Emergency care services</w:t>
                  </w:r>
                </w:p>
              </w:tc>
              <w:tc>
                <w:tcPr>
                  <w:tcW w:w="1000" w:type="pct"/>
                  <w:vAlign w:val="top"/>
                </w:tcPr>
                <w:p>
                  <w:r>
                    <w:t xml:space="preserve">N(8)</w:t>
                  </w:r>
                </w:p>
              </w:tc>
            </w:tr>
            <w:tr>
              <w:trPr/>
              <w:tc>
                <w:tcPr>
                  <w:tcW w:w="4000" w:type="pct"/>
                  <w:vAlign w:val="top"/>
                </w:tcPr>
                <w:p>
                  <w:r>
                    <w:t xml:space="preserve">Non-admitted (in scope for NHRA) </w:t>
                  </w:r>
                </w:p>
              </w:tc>
              <w:tc>
                <w:tcPr>
                  <w:tcW w:w="1000" w:type="pct"/>
                  <w:vAlign w:val="top"/>
                </w:tcPr>
                <w:p>
                  <w:r>
                    <w:t xml:space="preserve">N(8)</w:t>
                  </w:r>
                </w:p>
              </w:tc>
            </w:tr>
            <w:tr>
              <w:trPr/>
              <w:tc>
                <w:tcPr>
                  <w:tcW w:w="4000" w:type="pct"/>
                  <w:vAlign w:val="top"/>
                </w:tcPr>
                <w:p>
                  <w:r>
                    <w:t xml:space="preserve">Direct teaching, training and research</w:t>
                  </w:r>
                </w:p>
              </w:tc>
              <w:tc>
                <w:tcPr>
                  <w:tcW w:w="1000" w:type="pct"/>
                  <w:vAlign w:val="top"/>
                </w:tcPr>
                <w:p>
                  <w:r>
                    <w:t xml:space="preserve">N(8)</w:t>
                  </w:r>
                </w:p>
              </w:tc>
            </w:tr>
            <w:tr>
              <w:trPr/>
              <w:tc>
                <w:tcPr>
                  <w:tcW w:w="4000" w:type="pct"/>
                  <w:vAlign w:val="top"/>
                </w:tcPr>
                <w:p>
                  <w:r>
                    <w:t xml:space="preserve">Commonwealth funded aged care</w:t>
                  </w:r>
                </w:p>
              </w:tc>
              <w:tc>
                <w:tcPr>
                  <w:tcW w:w="1000" w:type="pct"/>
                  <w:vAlign w:val="top"/>
                </w:tcPr>
                <w:p>
                  <w:r>
                    <w:t xml:space="preserve">N(8)</w:t>
                  </w:r>
                </w:p>
              </w:tc>
            </w:tr>
            <w:tr>
              <w:trPr/>
              <w:tc>
                <w:tcPr>
                  <w:tcW w:w="4000" w:type="pct"/>
                  <w:vAlign w:val="top"/>
                </w:tcPr>
                <w:p>
                  <w:r>
                    <w:t xml:space="preserve">Other aged care</w:t>
                  </w:r>
                </w:p>
              </w:tc>
              <w:tc>
                <w:tcPr>
                  <w:tcW w:w="1000" w:type="pct"/>
                  <w:vAlign w:val="top"/>
                </w:tcPr>
                <w:p>
                  <w:r>
                    <w:t xml:space="preserve">N(8)</w:t>
                  </w:r>
                </w:p>
              </w:tc>
            </w:tr>
            <w:tr>
              <w:trPr/>
              <w:tc>
                <w:tcPr>
                  <w:tcW w:w="4000" w:type="pct"/>
                  <w:vAlign w:val="top"/>
                </w:tcPr>
                <w:p>
                  <w:r>
                    <w:t xml:space="preserve">Non-admitted (out of scope for NHRA)</w:t>
                  </w:r>
                </w:p>
              </w:tc>
              <w:tc>
                <w:tcPr>
                  <w:tcW w:w="1000" w:type="pct"/>
                  <w:vAlign w:val="top"/>
                </w:tcPr>
                <w:p>
                  <w:r>
                    <w:t xml:space="preserve">N(8)</w:t>
                  </w:r>
                </w:p>
              </w:tc>
            </w:tr>
            <w:tr>
              <w:trPr/>
              <w:tc>
                <w:tcPr>
                  <w:tcW w:w="4000" w:type="pct"/>
                  <w:vAlign w:val="top"/>
                </w:tcPr>
                <w:p>
                  <w:r>
                    <w:t xml:space="preserve">Other (out of scope for NHRA)</w:t>
                  </w:r>
                </w:p>
              </w:tc>
              <w:tc>
                <w:tcPr>
                  <w:tcW w:w="1000" w:type="pct"/>
                  <w:vAlign w:val="top"/>
                </w:tcPr>
                <w:p>
                  <w:r>
                    <w:t xml:space="preserve">N(8)</w:t>
                  </w:r>
                </w:p>
              </w:tc>
            </w:tr>
          </w:tbl>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PHE NMDS Working Group</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af89ea947da47d4">
              <w:r>
                <w:rPr>
                  <w:rStyle w:val="Hyperlink"/>
                </w:rPr>
                <w:t xml:space="preserve">Recurrent contracted care expenditure data element cluster</w:t>
              </w:r>
            </w:hyperlink>
          </w:p>
          <w:p>
            <w:pPr>
              <w:spacing w:before="0" w:after="0"/>
            </w:pPr>
            <w:r>
              <w:rPr>
                <w:rStyle w:val="row-content"/>
                <w:color w:val="244061"/>
              </w:rPr>
              <w:t xml:space="preserve">       </w:t>
            </w:r>
            <w:hyperlink w:history="true" r:id="R5feb5805f189409a">
              <w:r>
                <w:rPr>
                  <w:rStyle w:val="Hyperlink"/>
                  <w:color w:val="244061"/>
                </w:rPr>
                <w:t xml:space="preserve">Health</w:t>
              </w:r>
            </w:hyperlink>
            <w:r>
              <w:rPr>
                <w:rStyle w:val="row-content"/>
                <w:color w:val="244061"/>
              </w:rPr>
              <w:t xml:space="preserve">, Superseded 03/11/2016</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b5f8ccd66e34c1d">
                    <w:r>
                      <w:rPr>
                        <w:rStyle w:val="Hyperlink"/>
                      </w:rPr>
                      <w:t xml:space="preserve">Establishment—recurrent contracted care expenditure, National Health Reform Agreement 2011 product streams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93333faca964910">
                    <w:r>
                      <w:rPr>
                        <w:rStyle w:val="Hyperlink"/>
                      </w:rPr>
                      <w:t xml:space="preserve">Establishment—recurrent contracted care expenditure,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bl>
          <w:p/>
        </w:tc>
      </w:tr>
    </w:tbl>
    <w:p>
      <w:r>
        <w:br/>
      </w:r>
    </w:p>
    <w:sectPr>
      <w:footerReference xmlns:r="http://schemas.openxmlformats.org/officeDocument/2006/relationships" w:type="default" r:id="R0fa61677146f41d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552604</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981f0e8ce474af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fa61677146f41d2" /><Relationship Type="http://schemas.openxmlformats.org/officeDocument/2006/relationships/header" Target="/word/header1.xml" Id="R413babf60ebd4f21" /><Relationship Type="http://schemas.openxmlformats.org/officeDocument/2006/relationships/settings" Target="/word/settings.xml" Id="Re4d0375f11fe4e96" /><Relationship Type="http://schemas.openxmlformats.org/officeDocument/2006/relationships/styles" Target="/word/styles.xml" Id="Rd9e9bcce1d074357" /><Relationship Type="http://schemas.openxmlformats.org/officeDocument/2006/relationships/hyperlink" Target="https://meteor.aihw.gov.au/RegistrationAuthority/12" TargetMode="External" Id="R3650538a350b42a2" /><Relationship Type="http://schemas.openxmlformats.org/officeDocument/2006/relationships/hyperlink" Target="https://meteor.aihw.gov.au/content/608231" TargetMode="External" Id="Rfaf89ea947da47d4" /><Relationship Type="http://schemas.openxmlformats.org/officeDocument/2006/relationships/hyperlink" Target="https://meteor.aihw.gov.au/RegistrationAuthority/12" TargetMode="External" Id="R5feb5805f189409a" /><Relationship Type="http://schemas.openxmlformats.org/officeDocument/2006/relationships/hyperlink" Target="https://meteor.aihw.gov.au/content/552598" TargetMode="External" Id="R8b5f8ccd66e34c1d" /><Relationship Type="http://schemas.openxmlformats.org/officeDocument/2006/relationships/hyperlink" Target="https://meteor.aihw.gov.au/content/552596" TargetMode="External" Id="R393333faca964910" /></Relationships>
</file>

<file path=word/_rels/header1.xml.rels>&#65279;<?xml version="1.0" encoding="utf-8"?><Relationships xmlns="http://schemas.openxmlformats.org/package/2006/relationships"><Relationship Type="http://schemas.openxmlformats.org/officeDocument/2006/relationships/image" Target="/media/image.png" Id="Rb981f0e8ce474af0" /></Relationships>
</file>