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dcacd5977b498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Expenditure on GP attendances,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Expenditure on GP attendances,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Expenditure on GP attendances,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2ab5f273446b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benefits expenditure for non-referred GP attendances claimed through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578316d86340d1">
              <w:r>
                <w:rPr>
                  <w:rStyle w:val="Hyperlink"/>
                </w:rPr>
                <w:t xml:space="preserve">National Health Performance Authority: Healthy Communities: 2011–</w:t>
              </w:r>
            </w:hyperlink>
          </w:p>
          <w:p>
            <w:pPr>
              <w:pStyle w:val="registration-status"/>
              <w:spacing w:before="0" w:after="0"/>
            </w:pPr>
            <w:hyperlink w:history="true" r:id="Rb1b35d33b3d448a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benefits expenditure on GP attendances per person</w:t>
            </w:r>
          </w:p>
          <w:p>
            <w:pPr>
              <w:spacing w:after="160"/>
            </w:pPr>
            <w:r>
              <w:rPr>
                <w:rStyle w:val="row-content-rich-text"/>
              </w:rPr>
              <w:t xml:space="preserve">GP attendances are on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'Broad Type of Service' Groups, GP attendances comprise all items in Broad Type of Service Groups 'A' – GP/VRGP non-referred attendances, 'M' - Enhanced Primary Care and 'B' Non-referred other attendances as published in official MBS statistics by the Department of Human Services and the Department of Health.</w:t>
            </w:r>
          </w:p>
          <w:p>
            <w:pPr>
              <w:spacing w:after="160"/>
            </w:pPr>
            <w:r>
              <w:rPr>
                <w:rStyle w:val="row-content-rich-text"/>
              </w:rPr>
              <w:t xml:space="preserve">Expenditure on GP attendances does not include benefits paid for bulk billing items (MBS Items 10990, 10991, and 10992). These items are in 'Miscellaneous Services' (Category 9) in the MBS and are claimed as 'stand alone' items where the bulk billed service is a non-hospital unreferred service (other than pathology or diagnostic imaging) involving a person who is under 16 years of age or concessional. Since it is not always possible to determine the MBS item to which the incentive item relates expenditure on these items is included in 'Other MBS' (Broad Type of Service Group 'L') in official statistics.</w:t>
            </w:r>
          </w:p>
          <w:p>
            <w:pPr>
              <w:spacing w:after="160"/>
            </w:pPr>
            <w:r>
              <w:rPr>
                <w:rStyle w:val="row-content-rich-text"/>
              </w:rPr>
              <w:t xml:space="preserve">For the year of processing expenditure on bulk billing incentive items (MBS Items 10990, 10991 and 10992) other than pathology and diagnostic imaging was $542.6 million.</w:t>
            </w:r>
          </w:p>
          <w:p>
            <w:pPr>
              <w:spacing w:after="160"/>
            </w:pPr>
            <w:r>
              <w:rPr>
                <w:rStyle w:val="row-content-rich-text"/>
              </w:rPr>
              <w:t xml:space="preserve">In undertaking age standardisation of MBS data, the age of each person was determined from the last MBS service of any type, processed by the Department of Human Services in 2012–13. All MBS services for each individual processed in 2012–13, were attributed to the age in question.</w:t>
            </w:r>
          </w:p>
          <w:p>
            <w:pPr>
              <w:spacing w:after="160"/>
            </w:pPr>
            <w:r>
              <w:rPr>
                <w:rStyle w:val="row-content-rich-text"/>
              </w:rPr>
              <w:t xml:space="preserve">For MBS data, Medicare Local and SA3 were determined having regard to the enrolment postcode for each person from the last MBS service of any type, processed by the Department of Human Services in 2012–13. All MBS services for each individual processed in 2012–13, were attributed to the postcode in question.</w:t>
            </w:r>
          </w:p>
          <w:p>
            <w:pPr>
              <w:spacing w:after="160"/>
            </w:pPr>
            <w:r>
              <w:rPr>
                <w:rStyle w:val="row-content-rich-text"/>
              </w:rPr>
              <w:t xml:space="preserve">MBS postcode level data were allocated to Medicare Local and SA3 regions using concordance files provided by the ABS.</w:t>
            </w:r>
          </w:p>
          <w:p>
            <w:pPr>
              <w:spacing w:after="160"/>
            </w:pPr>
            <w:r>
              <w:rPr>
                <w:rStyle w:val="row-content-rich-text"/>
              </w:rPr>
              <w:t xml:space="preserve">Numerator based on Medicare (MBS) data provided by Department of Health for the financial year of processing, 2012–13.</w:t>
            </w:r>
          </w:p>
          <w:p>
            <w:pPr>
              <w:spacing w:after="160"/>
            </w:pPr>
            <w:r>
              <w:rPr>
                <w:rStyle w:val="row-content-rich-text"/>
              </w:rPr>
              <w:t xml:space="preserve">Denominator data – Estimated Resident Population at 30 June 2012 provided by ABS.</w:t>
            </w:r>
          </w:p>
          <w:p>
            <w:pPr>
              <w:spacing w:after="160"/>
            </w:pPr>
            <w:r>
              <w:rPr>
                <w:rStyle w:val="row-content-rich-text"/>
              </w:rPr>
              <w:t xml:space="preserve">Presented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rPr>
                <w:rStyle w:val="row-content-rich-text"/>
              </w:rPr>
              <w:t xml:space="preserve">        • if number of services is less than 6 or if number of services is equal to or greater than 6 but</w:t>
            </w:r>
            <w:r>
              <w:br/>
            </w:r>
            <w:r>
              <w:rPr>
                <w:rStyle w:val="row-content-rich-text"/>
              </w:rPr>
              <w:t xml:space="preserve">                • one provider provides more than 85% of services</w:t>
            </w:r>
            <w:r>
              <w:br/>
            </w:r>
            <w:r>
              <w:rPr>
                <w:rStyle w:val="row-content-rich-text"/>
              </w:rPr>
              <w:t xml:space="preserve">or two providers provide more than 90% of services</w:t>
            </w:r>
            <w:r>
              <w:br/>
            </w:r>
            <w:r>
              <w:rPr>
                <w:rStyle w:val="row-content-rich-text"/>
              </w:rPr>
              <w:t xml:space="preserve">                • one patient receives more than 85% of services</w:t>
            </w:r>
            <w:r>
              <w:br/>
            </w:r>
            <w:r>
              <w:rPr>
                <w:rStyle w:val="row-content-rich-text"/>
              </w:rPr>
              <w:t xml:space="preserve">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Medicare Benefits Scheme data</w:t>
            </w:r>
          </w:p>
          <w:p>
            <w:pPr>
              <w:spacing w:after="160"/>
            </w:pPr>
            <w:r>
              <w:rPr>
                <w:rStyle w:val="row-content-rich-text"/>
              </w:rPr>
              <w:t xml:space="preserve">Expenditure on GP attendances</w:t>
            </w:r>
          </w:p>
          <w:p>
            <w:pPr>
              <w:spacing w:after="160"/>
            </w:pPr>
            <w:r>
              <w:rPr>
                <w:rStyle w:val="row-content-rich-text"/>
              </w:rPr>
              <w:t xml:space="preserve">Expenditure on GP attendances, age standardised</w:t>
            </w:r>
          </w:p>
          <w:p>
            <w:pPr>
              <w:spacing w:after="160"/>
            </w:pPr>
            <w:r>
              <w:rPr>
                <w:rStyle w:val="row-content-rich-text"/>
              </w:rPr>
              <w:t xml:space="preserve">Expenditure on GP attendances variation within Medicare Locals</w:t>
            </w:r>
          </w:p>
          <w:p>
            <w:pPr/>
            <w:r>
              <w:rPr>
                <w:rStyle w:val="row-content-rich-text"/>
              </w:rPr>
              <w:t xml:space="preserve">Expenditure on GP attendances variation within Medicare Locals, age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amount of claims for non-referred (GP)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c78891f1204171">
              <w:r>
                <w:rPr>
                  <w:rStyle w:val="Hyperlink"/>
                </w:rPr>
                <w:t xml:space="preserve">Person—age, total years N[NN]</w:t>
              </w:r>
            </w:hyperlink>
          </w:p>
          <w:p>
            <w:r>
              <w:rPr>
                <w:rStyle w:val="row-content"/>
                <w:b/>
              </w:rPr>
              <w:t xml:space="preserve">Data Source</w:t>
            </w:r>
          </w:p>
          <w:p>
            <w:hyperlink w:history="true" r:id="R8dd9550ea0dc471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243bd1495e9445e">
              <w:r>
                <w:rPr>
                  <w:rStyle w:val="Hyperlink"/>
                </w:rPr>
                <w:t xml:space="preserve">Address—Australian postcode, Australian postcode code (Postcode datafile) {NNNN}</w:t>
              </w:r>
            </w:hyperlink>
          </w:p>
          <w:p>
            <w:r>
              <w:rPr>
                <w:rStyle w:val="row-content"/>
                <w:b/>
              </w:rPr>
              <w:t xml:space="preserve">Data Source</w:t>
            </w:r>
          </w:p>
          <w:p>
            <w:hyperlink w:history="true" r:id="Rb2298f78cfa54bb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edd8862ce0f41e3">
              <w:r>
                <w:rPr>
                  <w:rStyle w:val="Hyperlink"/>
                </w:rPr>
                <w:t xml:space="preserve">Person—General Practitioner MBS health assessment indicator, yes/no code N</w:t>
              </w:r>
            </w:hyperlink>
          </w:p>
          <w:p>
            <w:r>
              <w:rPr>
                <w:rStyle w:val="row-content"/>
                <w:b/>
              </w:rPr>
              <w:t xml:space="preserve">Data Source</w:t>
            </w:r>
          </w:p>
          <w:p>
            <w:hyperlink w:history="true" r:id="Rac666f77bcf94d0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A count of Yes's is used for the numerator.</w:t>
            </w:r>
          </w:p>
          <w:p>
            <w:r>
              <w:rPr>
                <w:rStyle w:val="row-content"/>
              </w:rPr>
              <w:t xml:space="preserve"> </w:t>
            </w:r>
          </w:p>
          <w:p>
            <w:r>
              <w:rPr>
                <w:rStyle w:val="row-content"/>
                <w:b/>
                <w:color w:val="000000"/>
              </w:rPr>
              <w:t xml:space="preserve">Data Element / Data Set</w:t>
            </w:r>
          </w:p>
          <w:p>
            <w:hyperlink w:history="true" r:id="Rca50e1b41d294b5b">
              <w:r>
                <w:rPr>
                  <w:rStyle w:val="Hyperlink"/>
                </w:rPr>
                <w:t xml:space="preserve">Person—Medicare Benefits Schedule (MBS) benefit for General Practitioner service, total Australian currency N[N(8)]</w:t>
              </w:r>
            </w:hyperlink>
          </w:p>
          <w:p>
            <w:r>
              <w:rPr>
                <w:rStyle w:val="row-content"/>
                <w:b/>
              </w:rPr>
              <w:t xml:space="preserve">Data Source</w:t>
            </w:r>
          </w:p>
          <w:p>
            <w:hyperlink w:history="true" r:id="R71fb575bf10940dd">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4eeb83b52c45b6">
              <w:r>
                <w:rPr>
                  <w:rStyle w:val="Hyperlink"/>
                </w:rPr>
                <w:t xml:space="preserve">Person—estimated resident population of Australia, total people N[N(7)]</w:t>
              </w:r>
            </w:hyperlink>
          </w:p>
          <w:p>
            <w:r>
              <w:rPr>
                <w:rStyle w:val="row-content"/>
                <w:b/>
              </w:rPr>
              <w:t xml:space="preserve">Data Source</w:t>
            </w:r>
          </w:p>
          <w:p>
            <w:hyperlink w:history="true" r:id="Rc85ccd6d095f43f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Medicare Local peer groups and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2ace9f0f984a84">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9ec6f88cc52048a3">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6a01663e39ef4fe8">
              <w:r>
                <w:rPr>
                  <w:rStyle w:val="Hyperlink"/>
                </w:rPr>
                <w:t xml:space="preserve">Administrative health region—Medicare Local peer group, code N</w:t>
              </w:r>
            </w:hyperlink>
          </w:p>
          <w:p>
            <w:r>
              <w:rPr>
                <w:rStyle w:val="row-content"/>
                <w:b/>
              </w:rPr>
              <w:t xml:space="preserve">Guide for use</w:t>
            </w:r>
          </w:p>
          <w:p>
            <w:r>
              <w:rPr>
                <w:rStyle w:val="row-content"/>
              </w:rPr>
              <w:t xml:space="preserve">Data source type: Administrative by-product data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e5b23e775841c8">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84d759f261645a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2893b6ba206480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742eabe1b70451b">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&amp;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60f63830344f10">
              <w:r>
                <w:rPr>
                  <w:rStyle w:val="Hyperlink"/>
                </w:rPr>
                <w:t xml:space="preserve">National Health Performance Authority, Healthy Communities: Expenditure on GP attendances, 2013–14</w:t>
              </w:r>
            </w:hyperlink>
          </w:p>
          <w:p>
            <w:pPr>
              <w:pStyle w:val="registration-status"/>
              <w:spacing w:before="0" w:after="0"/>
            </w:pPr>
            <w:hyperlink w:history="true" r:id="R0252a0dbb21445c6">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433f5d27f804d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547154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55178d453748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33f5d27f804d09" /><Relationship Type="http://schemas.openxmlformats.org/officeDocument/2006/relationships/header" Target="/word/header1.xml" Id="R9dec6a10e8744d2b" /><Relationship Type="http://schemas.openxmlformats.org/officeDocument/2006/relationships/settings" Target="/word/settings.xml" Id="R4fd27d0c84204aad" /><Relationship Type="http://schemas.openxmlformats.org/officeDocument/2006/relationships/styles" Target="/word/styles.xml" Id="R3e50ef29da574a39" /><Relationship Type="http://schemas.openxmlformats.org/officeDocument/2006/relationships/numbering" Target="/word/numbering.xml" Id="Rb706b5369b7a409c" /><Relationship Type="http://schemas.openxmlformats.org/officeDocument/2006/relationships/hyperlink" Target="https://meteor.aihw.gov.au/RegistrationAuthority/8" TargetMode="External" Id="R2402ab5f273446b3" /><Relationship Type="http://schemas.openxmlformats.org/officeDocument/2006/relationships/hyperlink" Target="https://meteor.aihw.gov.au/content/550329" TargetMode="External" Id="R7e578316d86340d1" /><Relationship Type="http://schemas.openxmlformats.org/officeDocument/2006/relationships/hyperlink" Target="https://meteor.aihw.gov.au/RegistrationAuthority/8" TargetMode="External" Id="Rb1b35d33b3d448a6" /><Relationship Type="http://schemas.openxmlformats.org/officeDocument/2006/relationships/hyperlink" Target="https://meteor.aihw.gov.au/content/303794" TargetMode="External" Id="R39c78891f1204171" /><Relationship Type="http://schemas.openxmlformats.org/officeDocument/2006/relationships/hyperlink" Target="https://meteor.aihw.gov.au/content/394305" TargetMode="External" Id="R8dd9550ea0dc4711" /><Relationship Type="http://schemas.openxmlformats.org/officeDocument/2006/relationships/hyperlink" Target="https://meteor.aihw.gov.au/content/429894" TargetMode="External" Id="R4243bd1495e9445e" /><Relationship Type="http://schemas.openxmlformats.org/officeDocument/2006/relationships/hyperlink" Target="https://meteor.aihw.gov.au/content/394305" TargetMode="External" Id="Rb2298f78cfa54bb0" /><Relationship Type="http://schemas.openxmlformats.org/officeDocument/2006/relationships/hyperlink" Target="https://meteor.aihw.gov.au/content/554986" TargetMode="External" Id="R6edd8862ce0f41e3" /><Relationship Type="http://schemas.openxmlformats.org/officeDocument/2006/relationships/hyperlink" Target="https://meteor.aihw.gov.au/content/394305" TargetMode="External" Id="Rac666f77bcf94d00" /><Relationship Type="http://schemas.openxmlformats.org/officeDocument/2006/relationships/hyperlink" Target="https://meteor.aihw.gov.au/content/556532" TargetMode="External" Id="Rca50e1b41d294b5b" /><Relationship Type="http://schemas.openxmlformats.org/officeDocument/2006/relationships/hyperlink" Target="https://meteor.aihw.gov.au/content/394305" TargetMode="External" Id="R71fb575bf10940dd" /><Relationship Type="http://schemas.openxmlformats.org/officeDocument/2006/relationships/hyperlink" Target="https://meteor.aihw.gov.au/content/388656" TargetMode="External" Id="R2f4eeb83b52c45b6" /><Relationship Type="http://schemas.openxmlformats.org/officeDocument/2006/relationships/hyperlink" Target="https://meteor.aihw.gov.au/content/393625" TargetMode="External" Id="Rc85ccd6d095f43fb" /><Relationship Type="http://schemas.openxmlformats.org/officeDocument/2006/relationships/hyperlink" Target="https://meteor.aihw.gov.au/content/457293" TargetMode="External" Id="R5d2ace9f0f984a84" /><Relationship Type="http://schemas.openxmlformats.org/officeDocument/2006/relationships/hyperlink" Target="https://meteor.aihw.gov.au/content/513288" TargetMode="External" Id="R9ec6f88cc52048a3" /><Relationship Type="http://schemas.openxmlformats.org/officeDocument/2006/relationships/hyperlink" Target="https://meteor.aihw.gov.au/content/550733" TargetMode="External" Id="R6a01663e39ef4fe8" /><Relationship Type="http://schemas.openxmlformats.org/officeDocument/2006/relationships/hyperlink" Target="https://meteor.aihw.gov.au/content/554927" TargetMode="External" Id="Rbae5b23e775841c8" /><Relationship Type="http://schemas.openxmlformats.org/officeDocument/2006/relationships/hyperlink" Target="https://meteor.aihw.gov.au/content/393625" TargetMode="External" Id="R484d759f261645a5" /><Relationship Type="http://schemas.openxmlformats.org/officeDocument/2006/relationships/hyperlink" Target="https://meteor.aihw.gov.au/content/449216" TargetMode="External" Id="R12893b6ba2064803" /><Relationship Type="http://schemas.openxmlformats.org/officeDocument/2006/relationships/hyperlink" Target="https://meteor.aihw.gov.au/content/394305" TargetMode="External" Id="R4742eabe1b70451b" /><Relationship Type="http://schemas.openxmlformats.org/officeDocument/2006/relationships/hyperlink" Target="https://meteor.aihw.gov.au/content/620159" TargetMode="External" Id="R1860f63830344f10" /><Relationship Type="http://schemas.openxmlformats.org/officeDocument/2006/relationships/hyperlink" Target="https://meteor.aihw.gov.au/RegistrationAuthority/8" TargetMode="External" Id="R0252a0dbb21445c6" /></Relationships>
</file>

<file path=word/_rels/header1.xml.rels>&#65279;<?xml version="1.0" encoding="utf-8"?><Relationships xmlns="http://schemas.openxmlformats.org/package/2006/relationships"><Relationship Type="http://schemas.openxmlformats.org/officeDocument/2006/relationships/image" Target="/media/image.png" Id="Ra155178d453748f8" /></Relationships>
</file>