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f93dff615c4aa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14a-Level of workforce participation (Census data), 2013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14a-Level of workforce participation (Census data),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523425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2cd04b84d443e8">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of Population and Housing ('the Census') is collected by the Australian Bureau of Statistics (ABS) under the </w:t>
            </w:r>
            <w:r>
              <w:rPr>
                <w:rStyle w:val="row-content-rich-text"/>
                <w:i/>
              </w:rPr>
              <w:t xml:space="preserve">Census and Statistics Act 1905</w:t>
            </w:r>
            <w:r>
              <w:rPr>
                <w:rStyle w:val="row-content-rich-text"/>
              </w:rPr>
              <w:t xml:space="preserve">.</w:t>
            </w:r>
          </w:p>
          <w:p>
            <w:pPr/>
            <w:r>
              <w:rPr>
                <w:rStyle w:val="row-content-rich-text"/>
              </w:rPr>
              <w:t xml:space="preserve">For information on the institutional environment of the ABS, including the legislative obligations of the ABS, financing and government arrangements, and mechanisms for scrutiny of ABS operations,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in August. Results from the 2011 Census are being released in three phases – two took place on 21 June and 30 October 2012; the release of highly specialised products will take place progressively in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extensive range of Census online products are available from the Data &amp; analysis page on the ABS website. This will be supplemented by the addition of SEIFA tables and Census 1% (Basic) and 5% (Expanded) Sample Files in 2013.</w:t>
            </w:r>
          </w:p>
          <w:p>
            <w:pPr/>
            <w:r>
              <w:rPr>
                <w:rStyle w:val="row-content-rich-text"/>
              </w:rPr>
              <w:t xml:space="preserve">If the Census information you require is not available as a standard product or service, then ABS Consultancy Services can help you with customised services to suit your needs. Contact 1300 135 070 from within Australia or +61 2 9268 4909 from overseas for all your Census and other information needs. Alternatively, please email </w:t>
            </w:r>
            <w:hyperlink w:history="true" r:id="R1876cfc87ec64b9d">
              <w:r>
                <w:rPr>
                  <w:rStyle w:val="Hyperlink"/>
                </w:rPr>
                <w:t xml:space="preserve">client.services@abs.gov.au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r>
              <w:rPr>
                <w:rStyle w:val="row-content-rich-text"/>
                <w:i/>
              </w:rPr>
              <w:t xml:space="preserve">2011 Census Dictionary</w:t>
            </w:r>
            <w:r>
              <w:rPr>
                <w:rStyle w:val="row-content-rich-text"/>
              </w:rPr>
              <w:t xml:space="preserve"> (ABS cat. no. 2901.0) is a comprehensive reference guide designed to assist users to determine and specify their data requirements, and to understand the concepts underlying the data. It provides details of classifications used and a glossary of definitions of Census terms.</w:t>
            </w:r>
          </w:p>
          <w:p>
            <w:pPr/>
            <w:r>
              <w:rPr>
                <w:rStyle w:val="row-content-rich-text"/>
              </w:rPr>
              <w:t xml:space="preserve">A number of other resources can be accessed from the Data quality page, including data quality statements for these data items and Fact sheets, although information on Labour Force Status has not yet been released.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data are available by state/territory and by statistical areas. The Census collects data from all people in Australia on Census night, except foreign diplomats and their families. Norfolk Island is outside the scope of the Census.</w:t>
            </w:r>
          </w:p>
          <w:p>
            <w:pPr/>
            <w:r>
              <w:rPr>
                <w:rStyle w:val="row-content-rich-text"/>
              </w:rPr>
              <w:t xml:space="preserve">The Census collects information on labour force status. The Census Dictionary provides a list of the classifications used in the 'Labour Force Status' variable, see 2901.0, </w:t>
            </w:r>
            <w:r>
              <w:rPr>
                <w:rStyle w:val="row-content-rich-text"/>
                <w:i/>
              </w:rPr>
              <w:t xml:space="preserve">Census Dictionary, 2011</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 Post Enumeration Survey, which is run by the ABS a month after each Census is completed, found a net undercount for the 2011 Census of 1.7 per cent. This means over 98 per cent of all people in Australia on Census night were counted; this was an improvement of 1 per cent on the undercount from 2006. The Census is self-enumerated; respondents sometimes do not return a Census form or fail to answer every applicable question. While some data is imputed, the majority of output classifications include a 'Not stated' category to record the level of non-response for that data item.</w:t>
            </w:r>
          </w:p>
          <w:p>
            <w:pPr>
              <w:spacing w:after="160"/>
            </w:pPr>
            <w:r>
              <w:rPr>
                <w:rStyle w:val="row-content-rich-text"/>
              </w:rPr>
              <w:t xml:space="preserve">'Labour Force Status' is the main Census data item used to provide data for these indicators. The non-response rate for this variable in the 2011 Census was 5.6 per cent (down from 6.5 per cent in 2006).</w:t>
            </w:r>
          </w:p>
          <w:p>
            <w:pPr>
              <w:spacing w:after="160"/>
            </w:pPr>
            <w:r>
              <w:rPr>
                <w:rStyle w:val="row-content-rich-text"/>
              </w:rPr>
              <w:t xml:space="preserve">The 'Indigenous Status' item is used to ascertain Indigenous status of persons. The non-response rate for this variable was 4.9 per cent (down from 5.7 per cent in 2006).</w:t>
            </w:r>
          </w:p>
          <w:p>
            <w:pPr/>
            <w:r>
              <w:rPr>
                <w:rStyle w:val="row-content-rich-text"/>
              </w:rPr>
              <w:t xml:space="preserve">For further information see specific data quality statements and the non-response rate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for Census data to be comparable and compatible with previous Censuses and also with other data produced by the ABS and wider community. The ABS, and the Census, uses Australian standard classifications, where available and appropriate, to provide data comparability across statistical collections.</w:t>
            </w:r>
          </w:p>
          <w:p>
            <w:pPr>
              <w:spacing w:after="160"/>
            </w:pPr>
            <w:r>
              <w:rPr>
                <w:rStyle w:val="row-content-rich-text"/>
              </w:rPr>
              <w:t xml:space="preserve">The 2006 Census dictionary provides some information on the differences and similarities between the Census and the labour force survey, see: 2901.0, </w:t>
            </w:r>
            <w:r>
              <w:rPr>
                <w:rStyle w:val="row-content-rich-text"/>
                <w:i/>
              </w:rPr>
              <w:t xml:space="preserve">Census Dictionary, 2006</w:t>
            </w:r>
            <w:r>
              <w:rPr>
                <w:rStyle w:val="row-content-rich-text"/>
              </w:rPr>
              <w:t xml:space="preserve">.</w:t>
            </w:r>
          </w:p>
          <w:p>
            <w:pPr/>
            <w:r>
              <w:rPr>
                <w:rStyle w:val="row-content-rich-text"/>
              </w:rPr>
              <w:t xml:space="preserve">The Labour Force Survey is also a source of information for labour force concepts and information: Labour Force, Australia: Labour Force Status and Other Characteristics of Families.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20980045404e11">
              <w:r>
                <w:rPr>
                  <w:rStyle w:val="Hyperlink"/>
                </w:rPr>
                <w:t xml:space="preserve">National Indigenous Reform Agreement: P21a-Employment to population ratio, for the working age population (15-64 years) (Census Data), 2010 QS</w:t>
              </w:r>
            </w:hyperlink>
          </w:p>
          <w:p>
            <w:pPr>
              <w:spacing w:before="0" w:after="0"/>
            </w:pPr>
            <w:r>
              <w:rPr>
                <w:rStyle w:val="row-content"/>
                <w:color w:val="244061"/>
              </w:rPr>
              <w:t xml:space="preserve">       </w:t>
            </w:r>
            <w:hyperlink w:history="true" r:id="R14d54c1e22714299">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Supersedes </w:t>
            </w:r>
            <w:hyperlink w:history="true" r:id="Ra71b4a7f2ee341b2">
              <w:r>
                <w:rPr>
                  <w:rStyle w:val="Hyperlink"/>
                </w:rPr>
                <w:t xml:space="preserve">National Indigenous Reform Agreement: P22a-Unemployment rate (Census data), 2010 QS</w:t>
              </w:r>
            </w:hyperlink>
          </w:p>
          <w:p>
            <w:pPr>
              <w:spacing w:before="0" w:after="0"/>
            </w:pPr>
            <w:r>
              <w:rPr>
                <w:rStyle w:val="row-content"/>
                <w:color w:val="244061"/>
              </w:rPr>
              <w:t xml:space="preserve">       </w:t>
            </w:r>
            <w:hyperlink w:history="true" r:id="R54a6eda9d769406c">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Supersedes </w:t>
            </w:r>
            <w:hyperlink w:history="true" r:id="Rc147f12057b443b9">
              <w:r>
                <w:rPr>
                  <w:rStyle w:val="Hyperlink"/>
                </w:rPr>
                <w:t xml:space="preserve">National Indigenous Reform Agreement: P23a-Labour force participation rate (Census data), 2010 QS</w:t>
              </w:r>
            </w:hyperlink>
          </w:p>
          <w:p>
            <w:pPr>
              <w:spacing w:before="0" w:after="0"/>
            </w:pPr>
            <w:r>
              <w:rPr>
                <w:rStyle w:val="row-content"/>
                <w:color w:val="244061"/>
              </w:rPr>
              <w:t xml:space="preserve">       </w:t>
            </w:r>
            <w:hyperlink w:history="true" r:id="R538dd179e993443c">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4e82991e33a84d38">
              <w:r>
                <w:rPr>
                  <w:rStyle w:val="Hyperlink"/>
                </w:rPr>
                <w:t xml:space="preserve">National Indigenous Reform Agreement: PI 14a-Level of workforce participation (Census data), 2014 QS</w:t>
              </w:r>
            </w:hyperlink>
          </w:p>
          <w:p>
            <w:pPr>
              <w:spacing w:before="0" w:after="0"/>
            </w:pPr>
            <w:r>
              <w:rPr>
                <w:rStyle w:val="row-content"/>
                <w:color w:val="244061"/>
              </w:rPr>
              <w:t xml:space="preserve">       </w:t>
            </w:r>
            <w:hyperlink w:history="true" r:id="R88a8b022375846ed">
              <w:r>
                <w:rPr>
                  <w:rStyle w:val="Hyperlink"/>
                  <w:color w:val="244061"/>
                </w:rPr>
                <w:t xml:space="preserve">Indigenous</w:t>
              </w:r>
            </w:hyperlink>
            <w:r>
              <w:rPr>
                <w:rStyle w:val="row-content"/>
                <w:color w:val="244061"/>
              </w:rPr>
              <w:t xml:space="preserve">, Superseded 17/02/2016</w:t>
            </w:r>
          </w:p>
          <w:p>
            <w:r>
              <w:br/>
            </w:r>
            <w:r>
              <w:rPr>
                <w:rStyle w:val="row-content"/>
              </w:rPr>
              <w:t xml:space="preserve">See also </w:t>
            </w:r>
            <w:hyperlink w:history="true" r:id="R2c9f201cc2434334">
              <w:r>
                <w:rPr>
                  <w:rStyle w:val="Hyperlink"/>
                </w:rPr>
                <w:t xml:space="preserve">National Indigenous Reform Agreement: P21b-Employment to population ratio, for the working age population (15-64 years) (Survey Data), 2010 QS</w:t>
              </w:r>
            </w:hyperlink>
          </w:p>
          <w:p>
            <w:pPr>
              <w:spacing w:before="0" w:after="0"/>
            </w:pPr>
            <w:r>
              <w:rPr>
                <w:rStyle w:val="row-content"/>
                <w:color w:val="244061"/>
              </w:rPr>
              <w:t xml:space="preserve">       </w:t>
            </w:r>
            <w:hyperlink w:history="true" r:id="R07fb7cbfae414bee">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See also </w:t>
            </w:r>
            <w:hyperlink w:history="true" r:id="R82a8a50aed654819">
              <w:r>
                <w:rPr>
                  <w:rStyle w:val="Hyperlink"/>
                </w:rPr>
                <w:t xml:space="preserve">National Indigenous Reform Agreement: P22b-Unemployment Rate (Survey data), 2010 QS</w:t>
              </w:r>
            </w:hyperlink>
          </w:p>
          <w:p>
            <w:pPr>
              <w:spacing w:before="0" w:after="0"/>
            </w:pPr>
            <w:r>
              <w:rPr>
                <w:rStyle w:val="row-content"/>
                <w:color w:val="244061"/>
              </w:rPr>
              <w:t xml:space="preserve">       </w:t>
            </w:r>
            <w:hyperlink w:history="true" r:id="Rf128eeba9ee24cec">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See also </w:t>
            </w:r>
            <w:hyperlink w:history="true" r:id="R63cad7ec88b04157">
              <w:r>
                <w:rPr>
                  <w:rStyle w:val="Hyperlink"/>
                </w:rPr>
                <w:t xml:space="preserve">National Indigenous Reform Agreement: P23b-Labour force participation rate (Survey data), 2010 QS</w:t>
              </w:r>
            </w:hyperlink>
          </w:p>
          <w:p>
            <w:pPr>
              <w:spacing w:before="0" w:after="0"/>
            </w:pPr>
            <w:r>
              <w:rPr>
                <w:rStyle w:val="row-content"/>
                <w:color w:val="244061"/>
              </w:rPr>
              <w:t xml:space="preserve">       </w:t>
            </w:r>
            <w:hyperlink w:history="true" r:id="R5adca578fecf4d99">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476cd116dcb4028">
              <w:r>
                <w:rPr>
                  <w:rStyle w:val="Hyperlink"/>
                </w:rPr>
                <w:t xml:space="preserve">National Indigenous Reform Agreement: PI 14a-Level of workforce participation (Census data), 2013</w:t>
              </w:r>
            </w:hyperlink>
          </w:p>
          <w:p>
            <w:pPr>
              <w:spacing w:before="0" w:after="0"/>
            </w:pPr>
            <w:r>
              <w:rPr>
                <w:rStyle w:val="row-content"/>
                <w:color w:val="244061"/>
              </w:rPr>
              <w:t xml:space="preserve">       </w:t>
            </w:r>
            <w:hyperlink w:history="true" r:id="R512836162bbb43b3">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fc8995d174044d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523425</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8f655580774f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8995d174044d5d" /><Relationship Type="http://schemas.openxmlformats.org/officeDocument/2006/relationships/header" Target="/word/header1.xml" Id="Rda09d35705b8471a" /><Relationship Type="http://schemas.openxmlformats.org/officeDocument/2006/relationships/settings" Target="/word/settings.xml" Id="R13b8753c4a6e42d2" /><Relationship Type="http://schemas.openxmlformats.org/officeDocument/2006/relationships/styles" Target="/word/styles.xml" Id="R3c2a9ccd0e034b35" /><Relationship Type="http://schemas.openxmlformats.org/officeDocument/2006/relationships/hyperlink" Target="https://meteor.aihw.gov.au/RegistrationAuthority/6" TargetMode="External" Id="R332cd04b84d443e8" /><Relationship Type="http://schemas.openxmlformats.org/officeDocument/2006/relationships/hyperlink" Target="mailto:client.services@abs.gov.au" TargetMode="External" Id="R1876cfc87ec64b9d" /><Relationship Type="http://schemas.openxmlformats.org/officeDocument/2006/relationships/hyperlink" Target="https://meteor.aihw.gov.au/content/396308" TargetMode="External" Id="R3620980045404e11" /><Relationship Type="http://schemas.openxmlformats.org/officeDocument/2006/relationships/hyperlink" Target="https://meteor.aihw.gov.au/RegistrationAuthority/1" TargetMode="External" Id="R14d54c1e22714299" /><Relationship Type="http://schemas.openxmlformats.org/officeDocument/2006/relationships/hyperlink" Target="https://meteor.aihw.gov.au/content/396312" TargetMode="External" Id="Ra71b4a7f2ee341b2" /><Relationship Type="http://schemas.openxmlformats.org/officeDocument/2006/relationships/hyperlink" Target="https://meteor.aihw.gov.au/RegistrationAuthority/1" TargetMode="External" Id="R54a6eda9d769406c" /><Relationship Type="http://schemas.openxmlformats.org/officeDocument/2006/relationships/hyperlink" Target="https://meteor.aihw.gov.au/content/396316" TargetMode="External" Id="Rc147f12057b443b9" /><Relationship Type="http://schemas.openxmlformats.org/officeDocument/2006/relationships/hyperlink" Target="https://meteor.aihw.gov.au/RegistrationAuthority/1" TargetMode="External" Id="R538dd179e993443c" /><Relationship Type="http://schemas.openxmlformats.org/officeDocument/2006/relationships/hyperlink" Target="https://meteor.aihw.gov.au/content/567234" TargetMode="External" Id="R4e82991e33a84d38" /><Relationship Type="http://schemas.openxmlformats.org/officeDocument/2006/relationships/hyperlink" Target="https://meteor.aihw.gov.au/RegistrationAuthority/6" TargetMode="External" Id="R88a8b022375846ed" /><Relationship Type="http://schemas.openxmlformats.org/officeDocument/2006/relationships/hyperlink" Target="https://meteor.aihw.gov.au/content/396310" TargetMode="External" Id="R2c9f201cc2434334" /><Relationship Type="http://schemas.openxmlformats.org/officeDocument/2006/relationships/hyperlink" Target="https://meteor.aihw.gov.au/RegistrationAuthority/1" TargetMode="External" Id="R07fb7cbfae414bee" /><Relationship Type="http://schemas.openxmlformats.org/officeDocument/2006/relationships/hyperlink" Target="https://meteor.aihw.gov.au/content/396314" TargetMode="External" Id="R82a8a50aed654819" /><Relationship Type="http://schemas.openxmlformats.org/officeDocument/2006/relationships/hyperlink" Target="https://meteor.aihw.gov.au/RegistrationAuthority/1" TargetMode="External" Id="Rf128eeba9ee24cec" /><Relationship Type="http://schemas.openxmlformats.org/officeDocument/2006/relationships/hyperlink" Target="https://meteor.aihw.gov.au/content/396318" TargetMode="External" Id="R63cad7ec88b04157" /><Relationship Type="http://schemas.openxmlformats.org/officeDocument/2006/relationships/hyperlink" Target="https://meteor.aihw.gov.au/RegistrationAuthority/1" TargetMode="External" Id="R5adca578fecf4d99" /><Relationship Type="http://schemas.openxmlformats.org/officeDocument/2006/relationships/hyperlink" Target="https://meteor.aihw.gov.au/content/484369" TargetMode="External" Id="Rf476cd116dcb4028" /><Relationship Type="http://schemas.openxmlformats.org/officeDocument/2006/relationships/hyperlink" Target="https://meteor.aihw.gov.au/RegistrationAuthority/6" TargetMode="External" Id="R512836162bbb43b3" /></Relationships>
</file>

<file path=word/_rels/header1.xml.rels>&#65279;<?xml version="1.0" encoding="utf-8"?><Relationships xmlns="http://schemas.openxmlformats.org/package/2006/relationships"><Relationship Type="http://schemas.openxmlformats.org/officeDocument/2006/relationships/image" Target="/media/image.png" Id="R0d8f655580774f73" /></Relationships>
</file>