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21a89b5f042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a8bfd3740475d">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by the Australian Bureau of Statistics (ABS)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is conducted every six years. The 2004–05 survey was conducted between August 2004 and July 2005. First results were released in April 2006.</w:t>
            </w:r>
          </w:p>
          <w:p>
            <w:pPr/>
            <w:r>
              <w:rPr>
                <w:rStyle w:val="row-content-rich-text"/>
              </w:rPr>
              <w:t xml:space="preserve">The National Health Survey (NHS) is conducted every three years and enumerated over a 12-month period to account for seasonal variability in its measures. The 2004–05 survey was conducted concurrently with the 2004–05 NATSIHS. First results were released in February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Health Survey, 2004-05</w:t>
            </w:r>
            <w:r>
              <w:rPr>
                <w:rStyle w:val="row-content-rich-text"/>
              </w:rPr>
              <w:t xml:space="preserve"> (ABS cat. no. 4715.0) and </w:t>
            </w:r>
            <w:r>
              <w:rPr>
                <w:rStyle w:val="row-content-rich-text"/>
                <w:i/>
              </w:rPr>
              <w:t xml:space="preserve">National Health Survey: Summary of Results, 2004-05</w:t>
            </w:r>
            <w:r>
              <w:rPr>
                <w:rStyle w:val="row-content-rich-text"/>
              </w:rPr>
              <w:t xml:space="preserve"> (ABS cat. no.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 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 available from the </w:t>
            </w:r>
            <w:r>
              <w:rPr>
                <w:rStyle w:val="row-content-rich-text"/>
                <w:i/>
              </w:rPr>
              <w:t xml:space="preserve">National Health Survey and National Aboriginal and Torres Strait Islander Health Survey 2004–05: Data Reference Package</w:t>
            </w:r>
            <w:r>
              <w:rPr>
                <w:rStyle w:val="row-content-rich-text"/>
              </w:rPr>
              <w:t xml:space="preserve"> (ABS cat. no. 4363.0.55.002), the </w:t>
            </w:r>
            <w:r>
              <w:rPr>
                <w:rStyle w:val="row-content-rich-text"/>
                <w:i/>
              </w:rPr>
              <w:t xml:space="preserve">2004–05 NATSIHS User's Guide</w:t>
            </w:r>
            <w:r>
              <w:rPr>
                <w:rStyle w:val="row-content-rich-text"/>
              </w:rPr>
              <w:t xml:space="preserve"> (ABS cat. no. 4715.0.55.004) and the </w:t>
            </w:r>
            <w:r>
              <w:rPr>
                <w:rStyle w:val="row-content-rich-text"/>
                <w:i/>
              </w:rPr>
              <w:t xml:space="preserve">2004–05 NHS User's Guide</w:t>
            </w:r>
            <w:r>
              <w:rPr>
                <w:rStyle w:val="row-content-rich-text"/>
              </w:rPr>
              <w:t xml:space="preserve"> (ABS cat. no. 4363.0.55.001).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NATSIHS and the NHS are national surveys that collect information on health status, risk factors and health-related actions. Body Mass Index (BMI) is calculated in these surveys from height and weight information ‘as reported’ by respondents and hence may differ from BMI based on measured height and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2004–05 NHS response rate was 91 per cent of households. Both surveys are weighted to account for non-response.</w:t>
            </w:r>
          </w:p>
          <w:p>
            <w:pPr>
              <w:spacing w:after="160"/>
            </w:pPr>
            <w:r>
              <w:rPr>
                <w:rStyle w:val="row-content-rich-text"/>
              </w:rPr>
              <w:t xml:space="preserve">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 Overall, this indicator has an relative standard error (RSE) of less than 25 per cent for all states and territories.</w:t>
            </w:r>
          </w:p>
          <w:p>
            <w:pPr>
              <w:spacing w:after="160"/>
            </w:pPr>
            <w:r>
              <w:rPr>
                <w:rStyle w:val="row-content-rich-text"/>
              </w:rPr>
              <w:t xml:space="preserve">Data relating to both Indigenous and non-Indigenous persons with a BMI in the ‘obese range’ have RSEs of less than 25 per cent for all states and territories, with the exception of non-Indigenous estimates for the Northern Territory (27 per cent), which should be used with caution.</w:t>
            </w:r>
          </w:p>
          <w:p>
            <w:pPr>
              <w:spacing w:after="160"/>
            </w:pPr>
            <w:r>
              <w:rPr>
                <w:rStyle w:val="row-content-rich-text"/>
              </w:rPr>
              <w:t xml:space="preserve">The additional data reported for Indigenous persons with a BMI in the ‘underweight’ range have RSEs between 25 per cent and 50 per cent for Victoria, Western Australia, South Australia and Tasmania. These data should be used with caution. Data reported for non-Indigenous persons</w:t>
            </w:r>
            <w:r>
              <w:br/>
            </w:r>
            <w:r>
              <w:rPr>
                <w:rStyle w:val="row-content-rich-text"/>
              </w:rPr>
              <w:t xml:space="preserve">with a BMI in the ‘underweight’ range have RSEs above 25 per cent in the Australian Capital Territory (26.6 per cent) and the Northern Territory (84.4 per cent) – users should note that data with an RSE above 75 per cent are considered unsuitable for publication.</w:t>
            </w:r>
          </w:p>
          <w:p>
            <w:pPr/>
            <w:r>
              <w:rPr>
                <w:rStyle w:val="row-content-rich-text"/>
              </w:rPr>
              <w:t xml:space="preserve">Finer levels of disaggregation (e.g. by the inclusion of other cross-classifying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w:t>
            </w:r>
          </w:p>
          <w:p>
            <w:pPr/>
            <w:r>
              <w:rPr>
                <w:rStyle w:val="row-content-rich-text"/>
              </w:rPr>
              <w:t xml:space="preserve">Data for this indicator are consistent with information presented in the Aboriginal and Torres Strait Islander Health Performance Framework (indicator 2.26).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fd380e51e4ccd">
              <w:r>
                <w:rPr>
                  <w:rStyle w:val="Hyperlink"/>
                </w:rPr>
                <w:t xml:space="preserve">National Indigenous Reform Agreement: P06-Levels of obesity - Body Mass Index, 2010 QS </w:t>
              </w:r>
            </w:hyperlink>
          </w:p>
          <w:p>
            <w:pPr>
              <w:spacing w:before="0" w:after="0"/>
            </w:pPr>
            <w:r>
              <w:rPr>
                <w:rStyle w:val="row-content"/>
                <w:color w:val="244061"/>
              </w:rPr>
              <w:t xml:space="preserve">       </w:t>
            </w:r>
            <w:hyperlink w:history="true" r:id="Rdc5cd967973b45e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1c43aed616274add">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2cccc867cb414766">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558c6ed6772420d">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7806c2bf3b8449cd">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9286483ea7d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523096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75d9c058494c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86483ea7d475e" /><Relationship Type="http://schemas.openxmlformats.org/officeDocument/2006/relationships/header" Target="/word/header1.xml" Id="R10f0ffb400d04412" /><Relationship Type="http://schemas.openxmlformats.org/officeDocument/2006/relationships/settings" Target="/word/settings.xml" Id="R30b2e14961764000" /><Relationship Type="http://schemas.openxmlformats.org/officeDocument/2006/relationships/styles" Target="/word/styles.xml" Id="Rb86535a03b744d9a" /><Relationship Type="http://schemas.openxmlformats.org/officeDocument/2006/relationships/hyperlink" Target="https://meteor.aihw.gov.au/RegistrationAuthority/6" TargetMode="External" Id="Red5a8bfd3740475d" /><Relationship Type="http://schemas.openxmlformats.org/officeDocument/2006/relationships/hyperlink" Target="https://meteor.aihw.gov.au/content/396230" TargetMode="External" Id="Rb6bfd380e51e4ccd" /><Relationship Type="http://schemas.openxmlformats.org/officeDocument/2006/relationships/hyperlink" Target="https://meteor.aihw.gov.au/RegistrationAuthority/1" TargetMode="External" Id="Rdc5cd967973b45eb" /><Relationship Type="http://schemas.openxmlformats.org/officeDocument/2006/relationships/hyperlink" Target="https://meteor.aihw.gov.au/content/567163" TargetMode="External" Id="R1c43aed616274add" /><Relationship Type="http://schemas.openxmlformats.org/officeDocument/2006/relationships/hyperlink" Target="https://meteor.aihw.gov.au/RegistrationAuthority/6" TargetMode="External" Id="R2cccc867cb414766" /><Relationship Type="http://schemas.openxmlformats.org/officeDocument/2006/relationships/hyperlink" Target="https://meteor.aihw.gov.au/content/483079" TargetMode="External" Id="Ra558c6ed6772420d" /><Relationship Type="http://schemas.openxmlformats.org/officeDocument/2006/relationships/hyperlink" Target="https://meteor.aihw.gov.au/RegistrationAuthority/6" TargetMode="External" Id="R7806c2bf3b8449cd" /></Relationships>
</file>

<file path=word/_rels/header1.xml.rels>&#65279;<?xml version="1.0" encoding="utf-8"?><Relationships xmlns="http://schemas.openxmlformats.org/package/2006/relationships"><Relationship Type="http://schemas.openxmlformats.org/officeDocument/2006/relationships/image" Target="/media/image.png" Id="Rc475d9c058494c9b" /></Relationships>
</file>