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81a7885b74832" /></Relationships>
</file>

<file path=word/document.xml><?xml version="1.0" encoding="utf-8"?>
<w:document xmlns:r="http://schemas.openxmlformats.org/officeDocument/2006/relationships" xmlns:w="http://schemas.openxmlformats.org/wordprocessingml/2006/main">
  <w:body>
    <w:p>
      <w:pPr>
        <w:pStyle w:val="Title"/>
      </w:pPr>
      <w:r>
        <w:t>National Outpatient Care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Outpatient Care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4bc6841744917">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2010–11, the proportion of outpatient occasions of service reported to the NOCD was estimated as 96% for public hospitals in peer groups A and B and 78% for all public hospitals.</w:t>
            </w:r>
          </w:p>
          <w:p>
            <w:pPr>
              <w:spacing w:after="160"/>
            </w:pPr>
            <w:r>
              <w:rPr>
                <w:rStyle w:val="row-content-rich-text"/>
              </w:rPr>
              <w:t xml:space="preserve">The NOCD includes data on the type of outpatient clinic and counts of individual and group occasions of service.</w:t>
            </w:r>
          </w:p>
          <w:p>
            <w:pPr>
              <w:spacing w:after="160"/>
            </w:pPr>
            <w:r>
              <w:rPr>
                <w:rStyle w:val="row-content-rich-text"/>
              </w:rPr>
              <w:t xml:space="preserve">The database includes data for each year from 2005–06 to 2010–11.</w:t>
            </w:r>
          </w:p>
          <w:p>
            <w:pPr>
              <w:spacing w:after="160"/>
            </w:pPr>
            <w:r>
              <w:rPr>
                <w:rStyle w:val="row-content-rich-text"/>
              </w:rPr>
              <w:t xml:space="preserve"> </w:t>
            </w:r>
          </w:p>
          <w:p>
            <w:pPr>
              <w:spacing w:after="160"/>
            </w:pPr>
            <w:r>
              <w:rPr>
                <w:rStyle w:val="row-content-rich-text"/>
                <w:b/>
              </w:rPr>
              <w:t xml:space="preserve">Summary of key issues</w:t>
            </w:r>
          </w:p>
          <w:p>
            <w:pPr>
              <w:spacing w:after="160"/>
            </w:pPr>
            <w:r>
              <w:rPr>
                <w:rStyle w:val="row-content-rich-text"/>
              </w:rPr>
              <w:t xml:space="preserve">• 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spacing w:after="160"/>
            </w:pPr>
            <w:r>
              <w:rPr>
                <w:rStyle w:val="row-content-rich-text"/>
              </w:rPr>
              <w:t xml:space="preserve">– New South Wales provided data for 2 Medium hospitals</w:t>
            </w:r>
          </w:p>
          <w:p>
            <w:pPr>
              <w:spacing w:after="160"/>
            </w:pPr>
            <w:r>
              <w:rPr>
                <w:rStyle w:val="row-content-rich-text"/>
              </w:rPr>
              <w:t xml:space="preserve">– Victoria provided data for 1 Medium hospital</w:t>
            </w:r>
          </w:p>
          <w:p>
            <w:pPr>
              <w:spacing w:after="160"/>
            </w:pPr>
            <w:r>
              <w:rPr>
                <w:rStyle w:val="row-content-rich-text"/>
              </w:rPr>
              <w:t xml:space="preserve">– Western Australia provided data for 5 Medium hospitals, 2 Small remote acute hospitals, 1 Small non-acute hospital and 1 Rehabilitation hospital</w:t>
            </w:r>
          </w:p>
          <w:p>
            <w:pPr>
              <w:spacing w:after="160"/>
            </w:pPr>
            <w:r>
              <w:rPr>
                <w:rStyle w:val="row-content-rich-text"/>
              </w:rPr>
              <w:t xml:space="preserve">– South Australia provided data for 1 Medium hospital</w:t>
            </w:r>
          </w:p>
          <w:p>
            <w:pPr>
              <w:spacing w:after="160"/>
            </w:pPr>
            <w:r>
              <w:rPr>
                <w:rStyle w:val="row-content-rich-text"/>
              </w:rPr>
              <w:t xml:space="preserve">– Tasmania provided data for 1 Medium hospital.</w:t>
            </w:r>
          </w:p>
          <w:p>
            <w:pPr>
              <w:spacing w:after="160"/>
            </w:pPr>
            <w:r>
              <w:rPr>
                <w:rStyle w:val="row-content-rich-text"/>
              </w:rPr>
              <w:t xml:space="preserve">• For 2010–11, the proportion of outpatient occasions of service reported to the NOCD was estimated as 96% for public hospitals in peer groups A and B and 78% for all public hospitals.</w:t>
            </w:r>
          </w:p>
          <w:p>
            <w:pPr>
              <w:spacing w:after="160"/>
            </w:pPr>
            <w:r>
              <w:rPr>
                <w:rStyle w:val="row-content-rich-text"/>
              </w:rPr>
              <w:t xml:space="preserve"> </w:t>
            </w:r>
          </w:p>
          <w:p>
            <w:pPr>
              <w:spacing w:after="160"/>
            </w:pPr>
            <w:r>
              <w:rPr>
                <w:rStyle w:val="row-content-rich-text"/>
              </w:rPr>
              <w:t xml:space="preserve">• The data in the NOCD are not necessarily representative of the hospitals not included in the NOCD. Hospitals not included do not necessarily have outpatient clinics that are equivalent to those in hospitals in peer groups A and B.</w:t>
            </w:r>
          </w:p>
          <w:p>
            <w:pPr>
              <w:spacing w:after="160"/>
            </w:pPr>
            <w:r>
              <w:rPr>
                <w:rStyle w:val="row-content-rich-text"/>
              </w:rPr>
              <w:t xml:space="preserve">• The data collection does not include care provided to non-admitted patients in emergency departments.</w:t>
            </w:r>
          </w:p>
          <w:p>
            <w:pPr>
              <w:spacing w:after="160"/>
            </w:pPr>
            <w:r>
              <w:rPr>
                <w:rStyle w:val="row-content-rich-text"/>
              </w:rPr>
              <w:t xml:space="preserve">• 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r>
              <w:rPr>
                <w:rStyle w:val="row-content-rich-text"/>
              </w:rPr>
              <w:t xml:space="preserve">• For 2010–11, some states re-categorised some outpatient clinics to align with the Activity Based Funding Tier 2 structure. Therefore, these data may not be comparable to data reported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NHMD, the NPHED, the NNAPEDCD, the NESWTDC and the NOCD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The data set includes records for Outpatient care occasions of service provided between 1 July 2010 and 30 June 2011.</w:t>
            </w:r>
          </w:p>
          <w:p>
            <w:pPr/>
            <w:r>
              <w:rPr>
                <w:rStyle w:val="row-content-rich-text"/>
              </w:rPr>
              <w:t xml:space="preserve">States and territories provided a first version of the data to the AIHW at the end of December 2011. This data was reported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NOCD. These include the Australian hospital statistics suite of products with associated Excel tables, which can be accessed on the AIHW website:</w:t>
            </w:r>
          </w:p>
          <w:p>
            <w:pPr/>
            <w:r>
              <w:rPr>
                <w:rStyle w:val="row-content-rich-text"/>
              </w:rPr>
              <w:t xml:space="preserve">&lt;http://www.aihw.gov.au/hospitals/&gt;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occasions of service reported to the NOCD reflect the number of individuals who attend group sessions. The data for Western Australia group occasions of service are therefore not comparable to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includes data for each year from 2005–06 to 2010–11.</w:t>
            </w:r>
          </w:p>
          <w:p>
            <w:pPr>
              <w:spacing w:after="160"/>
            </w:pPr>
            <w:r>
              <w:rPr>
                <w:rStyle w:val="row-content-rich-text"/>
              </w:rPr>
              <w:t xml:space="preserve">The data reported to the NOCD is consistent with the numbers of outpatient occasions of services reported to the NPHED for the same reference year. For 2010–11, the proportion of outpatient occasions of service reported to the NOCD was estimated as 78%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spacing w:after="160"/>
            </w:pPr>
            <w:r>
              <w:rPr>
                <w:rStyle w:val="row-content-rich-text"/>
              </w:rPr>
              <w:t xml:space="preserve">• The number of hospitals in peer groups A and B included in the NOCD increased from 120 in 2005–06 to 128 in 2010–11.</w:t>
            </w:r>
          </w:p>
          <w:p>
            <w:pPr>
              <w:spacing w:after="160"/>
            </w:pPr>
            <w:r>
              <w:rPr>
                <w:rStyle w:val="row-content-rich-text"/>
              </w:rPr>
              <w:t xml:space="preserve">• For 2010–11, some states re-categorised some outpatient clinics to align with the Activity Based Funding Tier 2 structure. Therefore, these data may not be comparable to data reported for previous years.</w:t>
            </w:r>
          </w:p>
          <w:p>
            <w:pPr>
              <w:spacing w:after="160"/>
            </w:pPr>
            <w:r>
              <w:rPr>
                <w:rStyle w:val="row-content-rich-text"/>
              </w:rPr>
              <w:t xml:space="preserve">• For 2009–10, Tasmania was not able to provide outpatient care data for one Principal referral hospital which reported about 134,000 occasions to the NOCD in 2010–11.</w:t>
            </w:r>
          </w:p>
          <w:p>
            <w:pPr/>
            <w:r>
              <w:rPr>
                <w:rStyle w:val="row-content-rich-text"/>
              </w:rPr>
              <w:t xml:space="preserve">• For 2010–10, Tasmania was able to exclude counts of outpatient occasions of service provided at public hospitals by private specialists. In previous years, these were included in Tasmania’s outpatient care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01c1ccff547c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511371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475e3af99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1ccff547c43fb" /><Relationship Type="http://schemas.openxmlformats.org/officeDocument/2006/relationships/header" Target="/word/header1.xml" Id="R995233634c984f70" /><Relationship Type="http://schemas.openxmlformats.org/officeDocument/2006/relationships/settings" Target="/word/settings.xml" Id="R0d76bdd753c44c38" /><Relationship Type="http://schemas.openxmlformats.org/officeDocument/2006/relationships/styles" Target="/word/styles.xml" Id="R3f554d0eeb664b8d" /><Relationship Type="http://schemas.openxmlformats.org/officeDocument/2006/relationships/hyperlink" Target="https://meteor.aihw.gov.au/RegistrationAuthority/5" TargetMode="External" Id="R3564bc6841744917" /></Relationships>
</file>

<file path=word/_rels/header1.xml.rels>&#65279;<?xml version="1.0" encoding="utf-8"?><Relationships xmlns="http://schemas.openxmlformats.org/package/2006/relationships"><Relationship Type="http://schemas.openxmlformats.org/officeDocument/2006/relationships/image" Target="/media/image.png" Id="R5a5475e3af9941e7" /></Relationships>
</file>