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243845c94684ea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30-Elapsed time for aged care services, 2013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30-Elapsed time for aged care services,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30-Elapsed time for aged care services,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496826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4a994b2cf04467">
              <w:r>
                <w:rPr>
                  <w:rStyle w:val="Hyperlink"/>
                  <w:color w:val="244061"/>
                </w:rPr>
                <w:t xml:space="preserve">Health</w:t>
              </w:r>
            </w:hyperlink>
            <w:r>
              <w:rPr>
                <w:rStyle w:val="row-content"/>
                <w:color w:val="244061"/>
              </w:rPr>
              <w:t xml:space="preserve">, Superseded 30/04/2014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elapsed time between an Aged Care Assessment Team (ACAT) approval and entry into a residential aged care service or commencement of a Community Aged Care Package (CACP), Extended Aged Care at Home (EACH) package or Extended Aged Care at Home Dementia (EACHD) package.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26d0222b2274c07">
              <w:r>
                <w:rPr>
                  <w:rStyle w:val="Hyperlink"/>
                </w:rPr>
                <w:t xml:space="preserve">National Healthcare Agreement (2013)</w:t>
              </w:r>
            </w:hyperlink>
          </w:p>
          <w:p>
            <w:pPr>
              <w:spacing w:before="0" w:after="0"/>
            </w:pPr>
            <w:r>
              <w:rPr>
                <w:rStyle w:val="row-content"/>
                <w:color w:val="244061"/>
              </w:rPr>
              <w:t xml:space="preserve">       </w:t>
            </w:r>
            <w:hyperlink w:history="true" r:id="R05b1ee9088eb4bad">
              <w:r>
                <w:rPr>
                  <w:rStyle w:val="Hyperlink"/>
                  <w:color w:val="244061"/>
                </w:rPr>
                <w:t xml:space="preserve">Health</w:t>
              </w:r>
            </w:hyperlink>
            <w:r>
              <w:rPr>
                <w:rStyle w:val="row-content"/>
                <w:color w:val="244061"/>
              </w:rPr>
              <w:t xml:space="preserve">, Superseded 30/04/2014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89805198e214a11">
              <w:r>
                <w:rPr>
                  <w:rStyle w:val="Hyperlink"/>
                </w:rPr>
                <w:t xml:space="preserve">Aged Care</w:t>
              </w:r>
            </w:hyperlink>
          </w:p>
          <w:p>
            <w:pPr>
              <w:spacing w:before="0" w:after="0"/>
            </w:pPr>
            <w:r>
              <w:rPr>
                <w:rStyle w:val="row-content"/>
                <w:color w:val="244061"/>
              </w:rPr>
              <w:t xml:space="preserve">       </w:t>
            </w:r>
            <w:hyperlink w:history="true" r:id="R8c2783a79f8a4b45">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b0adf2c03b9f4cb1">
              <w:r>
                <w:rPr>
                  <w:rStyle w:val="Hyperlink"/>
                </w:rPr>
                <w:t xml:space="preserve">National Healthcare Agreement: PI 30-Elapsed time for aged care services, 2013 QS</w:t>
              </w:r>
            </w:hyperlink>
          </w:p>
          <w:p>
            <w:pPr>
              <w:spacing w:before="0" w:after="0"/>
            </w:pPr>
            <w:r>
              <w:rPr>
                <w:rStyle w:val="row-content"/>
                <w:color w:val="244061"/>
              </w:rPr>
              <w:t xml:space="preserve">       </w:t>
            </w:r>
            <w:hyperlink w:history="true" r:id="R870d030b39834d88">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ACAT approval refers to the approval date of the most recent ACAT assessment prior to admission into residential care or commencement of a CACP, EACH or EACHD.</w:t>
            </w:r>
          </w:p>
          <w:p>
            <w:pPr>
              <w:spacing w:after="160"/>
            </w:pPr>
            <w:r>
              <w:rPr>
                <w:rStyle w:val="row-content-rich-text"/>
              </w:rPr>
              <w:t xml:space="preserve">Service type: Residential care - high care; Residential care - low care; CACP; EACH and EACHD.</w:t>
            </w:r>
          </w:p>
          <w:p>
            <w:pPr>
              <w:spacing w:after="160"/>
            </w:pPr>
            <w:r>
              <w:rPr>
                <w:rStyle w:val="row-content-rich-text"/>
              </w:rPr>
              <w:t xml:space="preserve">Elapsed time period: within two days or less, seven days or less, less than one month, less than three months, less than nine months.</w:t>
            </w:r>
          </w:p>
          <w:p>
            <w:pPr>
              <w:spacing w:after="160"/>
            </w:pPr>
            <w:r>
              <w:rPr>
                <w:rStyle w:val="row-content-rich-text"/>
              </w:rPr>
              <w:t xml:space="preserve">Analysis of Indigenous status is by self-reported indication on the associated last ACAT assessment record made before entry into aged care.</w:t>
            </w:r>
          </w:p>
          <w:p>
            <w:pPr>
              <w:spacing w:after="160"/>
            </w:pPr>
            <w:r>
              <w:rPr>
                <w:rStyle w:val="row-content-rich-text"/>
              </w:rPr>
              <w:t xml:space="preserve">Remoteness, socioeconomic status and state and territory are based on the reported area of usual residence of the person before entry into aged care.</w:t>
            </w:r>
          </w:p>
          <w:p>
            <w:pPr>
              <w:spacing w:after="160"/>
            </w:pPr>
            <w:r>
              <w:rPr>
                <w:rStyle w:val="row-content-rich-text"/>
              </w:rPr>
              <w:t xml:space="preserve">Presented as:</w:t>
            </w:r>
          </w:p>
          <w:p>
            <w:pPr>
              <w:pStyle w:val="ListParagraph"/>
              <w:numPr>
                <w:ilvl w:val="0"/>
                <w:numId w:val="2"/>
              </w:numPr>
            </w:pPr>
            <w:r>
              <w:rPr>
                <w:rStyle w:val="row-content-rich-text"/>
              </w:rPr>
              <w:t xml:space="preserve">percentage of people admitted by length of entry period and service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(Numerator/Denominator) calculated separately for each service type and elapsed time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new aged care recipients who commence a service within elapsed time periods during the financial year.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new aged care recipients during the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2011-12 - State and territory, by service type, by:</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Standard Geographical Classification Remoteness Structure)</w:t>
            </w:r>
          </w:p>
          <w:p>
            <w:pPr>
              <w:pStyle w:val="ListParagraph"/>
              <w:numPr>
                <w:ilvl w:val="0"/>
                <w:numId w:val="3"/>
              </w:numPr>
            </w:pPr>
            <w:r>
              <w:rPr>
                <w:rStyle w:val="row-content-rich-text"/>
              </w:rPr>
              <w:t xml:space="preserve">Socio-Economic Indexes for Areas (SEIFA) Index of Relative Socio-Economic Disadvantage (IRSD) quintiles</w:t>
            </w:r>
          </w:p>
          <w:p>
            <w:pPr>
              <w:spacing w:after="160"/>
            </w:pPr>
            <w:r>
              <w:rPr>
                <w:rStyle w:val="row-content-rich-text"/>
              </w:rPr>
              <w:t xml:space="preserve">2011-12 - Nationally by service type, by SEIFA IRSD deciles.</w:t>
            </w:r>
          </w:p>
          <w:p>
            <w:pPr>
              <w:spacing w:after="160"/>
            </w:pPr>
            <w:r>
              <w:rPr>
                <w:rStyle w:val="row-content-rich-text"/>
              </w:rPr>
              <w:t xml:space="preserve">2008-09, 2009-10 and 2010-11 - State and territory.</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2013 Council of Australian Governments (COAG) Reform Council (CRC) report: 2011-12.</w:t>
            </w:r>
          </w:p>
          <w:p>
            <w:pPr>
              <w:spacing w:after="160"/>
            </w:pPr>
            <w:r>
              <w:rPr>
                <w:rStyle w:val="row-content-rich-text"/>
              </w:rPr>
              <w:t xml:space="preserve">This indicator needs to be interpreted with care. The measure of 'elapsed time' is utilised because the period of time between the ACAT approval and entry into residential aged care or commencement of CACP; EACH and EACHD may be due to factors which cannot be categorised as 'waiting' time. These include:</w:t>
            </w:r>
          </w:p>
          <w:p>
            <w:pPr>
              <w:pStyle w:val="ListParagraph"/>
              <w:numPr>
                <w:ilvl w:val="0"/>
                <w:numId w:val="4"/>
              </w:numPr>
            </w:pPr>
            <w:r>
              <w:rPr>
                <w:rStyle w:val="row-content-rich-text"/>
              </w:rPr>
              <w:t xml:space="preserve">care placement offers that are not accepted</w:t>
            </w:r>
          </w:p>
          <w:p>
            <w:pPr>
              <w:pStyle w:val="ListParagraph"/>
              <w:numPr>
                <w:ilvl w:val="0"/>
                <w:numId w:val="4"/>
              </w:numPr>
            </w:pPr>
            <w:r>
              <w:rPr>
                <w:rStyle w:val="row-content-rich-text"/>
              </w:rPr>
              <w:t xml:space="preserve">the availability of alternative community care, informal care and respite services</w:t>
            </w:r>
          </w:p>
          <w:p>
            <w:pPr>
              <w:pStyle w:val="ListParagraph"/>
              <w:numPr>
                <w:ilvl w:val="0"/>
                <w:numId w:val="4"/>
              </w:numPr>
            </w:pPr>
            <w:r>
              <w:rPr>
                <w:rStyle w:val="row-content-rich-text"/>
              </w:rPr>
              <w:t xml:space="preserve">variations in care fee regimes that influence client choice of preferred service</w:t>
            </w:r>
          </w:p>
          <w:p>
            <w:pPr>
              <w:pStyle w:val="ListParagraph"/>
              <w:numPr>
                <w:ilvl w:val="0"/>
                <w:numId w:val="4"/>
              </w:numPr>
            </w:pPr>
            <w:r>
              <w:rPr>
                <w:rStyle w:val="row-content-rich-text"/>
              </w:rPr>
              <w:t xml:space="preserve">building quality and perceptions about quality of care that influence client choice of preferred service</w:t>
            </w:r>
          </w:p>
          <w:p>
            <w:pPr/>
            <w:r>
              <w:rPr>
                <w:rStyle w:val="row-content-rich-text"/>
              </w:rPr>
              <w:t xml:space="preserve">The measure is most relevant for high residential care recipients as the link between entry to residential care and elapsed time is stronger for high care residents than low care residents or community care packaged recipients. This is due to the urgency for high care residents and the greater number of alternatives for people with ACAT approvals for low care or community aged care packages.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Minor work required, the measure needs minor work to meet the intention of the indicator.</w:t>
            </w:r>
          </w:p>
          <w:p>
            <w:pPr/>
            <w:r>
              <w:rPr>
                <w:rStyle w:val="row-content-rich-text"/>
              </w:rPr>
              <w:t xml:space="preserve">Consideration to be given to collect "reason for delayed uptake" where elapsed time is greater than 3 months.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9d36a4ec2cc43b5">
              <w:r>
                <w:rPr>
                  <w:rStyle w:val="Hyperlink"/>
                </w:rPr>
                <w:t xml:space="preserve">National Healthcare Agreement: PI 30-Elapsed time for aged care services, 2014</w:t>
              </w:r>
            </w:hyperlink>
          </w:p>
          <w:p>
            <w:pPr>
              <w:spacing w:before="0" w:after="0"/>
            </w:pPr>
            <w:r>
              <w:rPr>
                <w:rStyle w:val="row-content"/>
                <w:color w:val="244061"/>
              </w:rPr>
              <w:t xml:space="preserve">       </w:t>
            </w:r>
            <w:hyperlink w:history="true" r:id="Rab1f0012e61c4e08">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5eb65f8eefd045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496826</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fe2e36558844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b65f8eefd04558" /><Relationship Type="http://schemas.openxmlformats.org/officeDocument/2006/relationships/header" Target="/word/header1.xml" Id="R79063dc49ab34795" /><Relationship Type="http://schemas.openxmlformats.org/officeDocument/2006/relationships/settings" Target="/word/settings.xml" Id="R460a27ff80e24687" /><Relationship Type="http://schemas.openxmlformats.org/officeDocument/2006/relationships/styles" Target="/word/styles.xml" Id="R84abe0e3392f4489" /><Relationship Type="http://schemas.openxmlformats.org/officeDocument/2006/relationships/hyperlink" Target="https://meteor.aihw.gov.au/RegistrationAuthority/12" TargetMode="External" Id="R8a4a994b2cf04467" /><Relationship Type="http://schemas.openxmlformats.org/officeDocument/2006/relationships/hyperlink" Target="https://meteor.aihw.gov.au/content/496807" TargetMode="External" Id="Ra26d0222b2274c07" /><Relationship Type="http://schemas.openxmlformats.org/officeDocument/2006/relationships/hyperlink" Target="https://meteor.aihw.gov.au/RegistrationAuthority/12" TargetMode="External" Id="R05b1ee9088eb4bad" /><Relationship Type="http://schemas.openxmlformats.org/officeDocument/2006/relationships/hyperlink" Target="https://meteor.aihw.gov.au/content/393489" TargetMode="External" Id="R889805198e214a11" /><Relationship Type="http://schemas.openxmlformats.org/officeDocument/2006/relationships/hyperlink" Target="https://meteor.aihw.gov.au/RegistrationAuthority/12" TargetMode="External" Id="R8c2783a79f8a4b45" /><Relationship Type="http://schemas.openxmlformats.org/officeDocument/2006/relationships/hyperlink" Target="https://meteor.aihw.gov.au/content/502555" TargetMode="External" Id="Rb0adf2c03b9f4cb1" /><Relationship Type="http://schemas.openxmlformats.org/officeDocument/2006/relationships/hyperlink" Target="https://meteor.aihw.gov.au/RegistrationAuthority/12" TargetMode="External" Id="R870d030b39834d88" /><Relationship Type="http://schemas.openxmlformats.org/officeDocument/2006/relationships/numbering" Target="/word/numbering.xml" Id="R125aaea10e6741e9" /><Relationship Type="http://schemas.openxmlformats.org/officeDocument/2006/relationships/hyperlink" Target="https://meteor.aihw.gov.au/content/517618" TargetMode="External" Id="R89d36a4ec2cc43b5" /><Relationship Type="http://schemas.openxmlformats.org/officeDocument/2006/relationships/hyperlink" Target="https://meteor.aihw.gov.au/RegistrationAuthority/12" TargetMode="External" Id="Rab1f0012e61c4e08" /></Relationships>
</file>

<file path=word/_rels/header1.xml.rels>&#65279;<?xml version="1.0" encoding="utf-8"?><Relationships xmlns="http://schemas.openxmlformats.org/package/2006/relationships"><Relationship Type="http://schemas.openxmlformats.org/officeDocument/2006/relationships/image" Target="/media/image.png" Id="R5dfe2e365588440f" /></Relationships>
</file>