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437791aa524d91" /></Relationships>
</file>

<file path=word/document.xml><?xml version="1.0" encoding="utf-8"?>
<w:document xmlns:r="http://schemas.openxmlformats.org/officeDocument/2006/relationships" xmlns:w="http://schemas.openxmlformats.org/wordprocessingml/2006/main">
  <w:body>
    <w:p>
      <w:pPr>
        <w:pStyle w:val="Title"/>
      </w:pPr>
      <w:r>
        <w:t>Appointment—principal source of funding, patient funding source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Appointment—principal source of funding, patient funding source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payment classification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APP_PAY_CLASS_CODE; FUNDING_SOURCE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fab1265a9d4b7c">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source of funds that is expected to pay for the health care provided to a patient at an appointment,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b73cb282e84eb4">
              <w:r>
                <w:rPr>
                  <w:rStyle w:val="Hyperlink"/>
                </w:rPr>
                <w:t xml:space="preserve">Appointment—principal source of funding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5ef7db060e74e6a">
              <w:r>
                <w:rPr>
                  <w:rStyle w:val="Hyperlink"/>
                </w:rPr>
                <w:t xml:space="preserve">Patient funding source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ADF</w:t>
            </w:r>
          </w:p>
        </w:tc>
        <w:tc>
          <w:tcPr>
            <w:tcBorders>
              <w:top w:val="none" w:color="000000" w:sz="0"/>
              <w:left w:val="none" w:color="000000" w:sz="0"/>
              <w:bottom w:val="none" w:color="000000" w:sz="0"/>
              <w:right w:val="none" w:color="000000" w:sz="0"/>
            </w:tcBorders>
            <w:vAlign w:val="top"/>
          </w:tcPr>
          <w:p>
            <w:r>
              <w:t xml:space="preserve">Australian Defence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AHA</w:t>
            </w:r>
          </w:p>
        </w:tc>
        <w:tc>
          <w:tcPr>
            <w:tcBorders>
              <w:top w:val="none" w:color="000000" w:sz="0"/>
              <w:left w:val="none" w:color="000000" w:sz="0"/>
              <w:bottom w:val="none" w:color="000000" w:sz="0"/>
              <w:right w:val="none" w:color="000000" w:sz="0"/>
            </w:tcBorders>
            <w:vAlign w:val="top"/>
          </w:tcPr>
          <w:p>
            <w:r>
              <w:t xml:space="preserve">Australian Health 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COM</w:t>
            </w:r>
          </w:p>
        </w:tc>
        <w:tc>
          <w:tcPr>
            <w:tcBorders>
              <w:top w:val="none" w:color="000000" w:sz="0"/>
              <w:left w:val="none" w:color="000000" w:sz="0"/>
              <w:bottom w:val="none" w:color="000000" w:sz="0"/>
              <w:right w:val="none" w:color="000000" w:sz="0"/>
            </w:tcBorders>
            <w:vAlign w:val="top"/>
          </w:tcPr>
          <w:p>
            <w:r>
              <w:t xml:space="preserve">Compensable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COR</w:t>
            </w:r>
          </w:p>
        </w:tc>
        <w:tc>
          <w:tcPr>
            <w:tcBorders>
              <w:top w:val="none" w:color="000000" w:sz="0"/>
              <w:left w:val="none" w:color="000000" w:sz="0"/>
              <w:bottom w:val="none" w:color="000000" w:sz="0"/>
              <w:right w:val="none" w:color="000000" w:sz="0"/>
            </w:tcBorders>
            <w:vAlign w:val="top"/>
          </w:tcPr>
          <w:p>
            <w:r>
              <w:t xml:space="preserve">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DET</w:t>
            </w:r>
          </w:p>
        </w:tc>
        <w:tc>
          <w:tcPr>
            <w:tcBorders>
              <w:top w:val="none" w:color="000000" w:sz="0"/>
              <w:left w:val="none" w:color="000000" w:sz="0"/>
              <w:bottom w:val="none" w:color="000000" w:sz="0"/>
              <w:right w:val="none" w:color="000000" w:sz="0"/>
            </w:tcBorders>
            <w:vAlign w:val="top"/>
          </w:tcPr>
          <w:p>
            <w:r>
              <w:t xml:space="preserve">Detainee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EMV</w:t>
            </w:r>
          </w:p>
        </w:tc>
        <w:tc>
          <w:tcPr>
            <w:tcBorders>
              <w:top w:val="none" w:color="000000" w:sz="0"/>
              <w:left w:val="none" w:color="000000" w:sz="0"/>
              <w:bottom w:val="none" w:color="000000" w:sz="0"/>
              <w:right w:val="none" w:color="000000" w:sz="0"/>
            </w:tcBorders>
            <w:vAlign w:val="top"/>
          </w:tcPr>
          <w:p>
            <w:r>
              <w:t xml:space="preserve">Other states Motor Vehicle Insurance Trust (MVIT)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FOD</w:t>
            </w:r>
          </w:p>
        </w:tc>
        <w:tc>
          <w:tcPr>
            <w:tcBorders>
              <w:top w:val="none" w:color="000000" w:sz="0"/>
              <w:left w:val="none" w:color="000000" w:sz="0"/>
              <w:bottom w:val="none" w:color="000000" w:sz="0"/>
              <w:right w:val="none" w:color="000000" w:sz="0"/>
            </w:tcBorders>
            <w:vAlign w:val="top"/>
          </w:tcPr>
          <w:p>
            <w:r>
              <w:t xml:space="preserve">Foreign defence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INE</w:t>
            </w:r>
          </w:p>
        </w:tc>
        <w:tc>
          <w:tcPr>
            <w:tcBorders>
              <w:top w:val="none" w:color="000000" w:sz="0"/>
              <w:left w:val="none" w:color="000000" w:sz="0"/>
              <w:bottom w:val="none" w:color="000000" w:sz="0"/>
              <w:right w:val="none" w:color="000000" w:sz="0"/>
            </w:tcBorders>
            <w:vAlign w:val="top"/>
          </w:tcPr>
          <w:p>
            <w:r>
              <w:t xml:space="preserve">Ineligible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MBS</w:t>
            </w:r>
          </w:p>
        </w:tc>
        <w:tc>
          <w:tcPr>
            <w:tcBorders>
              <w:top w:val="none" w:color="000000" w:sz="0"/>
              <w:left w:val="none" w:color="000000" w:sz="0"/>
              <w:bottom w:val="none" w:color="000000" w:sz="0"/>
              <w:right w:val="none" w:color="000000" w:sz="0"/>
            </w:tcBorders>
            <w:vAlign w:val="top"/>
          </w:tcPr>
          <w:p>
            <w:r>
              <w:t xml:space="preserve">Medicare Benefits Scheme Privately Referred Non-Inpatient Initiative (MBS PRNI)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OVS</w:t>
            </w:r>
          </w:p>
        </w:tc>
        <w:tc>
          <w:tcPr>
            <w:tcBorders>
              <w:top w:val="none" w:color="000000" w:sz="0"/>
              <w:left w:val="none" w:color="000000" w:sz="0"/>
              <w:bottom w:val="none" w:color="000000" w:sz="0"/>
              <w:right w:val="none" w:color="000000" w:sz="0"/>
            </w:tcBorders>
            <w:vAlign w:val="top"/>
          </w:tcPr>
          <w:p>
            <w:r>
              <w:t xml:space="preserve">Overseas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OVV</w:t>
            </w:r>
          </w:p>
        </w:tc>
        <w:tc>
          <w:tcPr>
            <w:tcBorders>
              <w:top w:val="none" w:color="000000" w:sz="0"/>
              <w:left w:val="none" w:color="000000" w:sz="0"/>
              <w:bottom w:val="none" w:color="000000" w:sz="0"/>
              <w:right w:val="none" w:color="000000" w:sz="0"/>
            </w:tcBorders>
            <w:vAlign w:val="top"/>
          </w:tcPr>
          <w:p>
            <w:r>
              <w:t xml:space="preserve">Overseas visitor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PVT</w:t>
            </w:r>
          </w:p>
        </w:tc>
        <w:tc>
          <w:tcPr>
            <w:tcBorders>
              <w:top w:val="none" w:color="000000" w:sz="0"/>
              <w:left w:val="none" w:color="000000" w:sz="0"/>
              <w:bottom w:val="none" w:color="000000" w:sz="0"/>
              <w:right w:val="none" w:color="000000" w:sz="0"/>
            </w:tcBorders>
            <w:vAlign w:val="top"/>
          </w:tcPr>
          <w:p>
            <w:r>
              <w:t xml:space="preserve">Private insured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REC</w:t>
            </w:r>
          </w:p>
        </w:tc>
        <w:tc>
          <w:tcPr>
            <w:tcBorders>
              <w:top w:val="none" w:color="000000" w:sz="0"/>
              <w:left w:val="none" w:color="000000" w:sz="0"/>
              <w:bottom w:val="none" w:color="000000" w:sz="0"/>
              <w:right w:val="none" w:color="000000" w:sz="0"/>
            </w:tcBorders>
            <w:vAlign w:val="top"/>
          </w:tcPr>
          <w:p>
            <w:r>
              <w:t xml:space="preserve">Reciprocal Health 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SHI</w:t>
            </w:r>
          </w:p>
        </w:tc>
        <w:tc>
          <w:tcPr>
            <w:tcBorders>
              <w:top w:val="none" w:color="000000" w:sz="0"/>
              <w:left w:val="none" w:color="000000" w:sz="0"/>
              <w:bottom w:val="none" w:color="000000" w:sz="0"/>
              <w:right w:val="none" w:color="000000" w:sz="0"/>
            </w:tcBorders>
            <w:vAlign w:val="top"/>
          </w:tcPr>
          <w:p>
            <w:r>
              <w:t xml:space="preserve">Shipping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UNI</w:t>
            </w:r>
          </w:p>
        </w:tc>
        <w:tc>
          <w:tcPr>
            <w:tcBorders>
              <w:top w:val="none" w:color="000000" w:sz="0"/>
              <w:left w:val="none" w:color="000000" w:sz="0"/>
              <w:bottom w:val="none" w:color="000000" w:sz="0"/>
              <w:right w:val="none" w:color="000000" w:sz="0"/>
            </w:tcBorders>
            <w:vAlign w:val="top"/>
          </w:tcPr>
          <w:p>
            <w:r>
              <w:t xml:space="preserve">Private uninsured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VET</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WAM</w:t>
            </w:r>
          </w:p>
        </w:tc>
        <w:tc>
          <w:tcPr>
            <w:tcBorders>
              <w:top w:val="none" w:color="000000" w:sz="0"/>
              <w:left w:val="none" w:color="000000" w:sz="0"/>
              <w:bottom w:val="none" w:color="000000" w:sz="0"/>
              <w:right w:val="none" w:color="000000" w:sz="0"/>
            </w:tcBorders>
            <w:vAlign w:val="top"/>
          </w:tcPr>
          <w:p>
            <w:r>
              <w:t xml:space="preserve">Western Australian Motor Vehicle Insurance Trust (MVIT)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WCC</w:t>
            </w:r>
          </w:p>
        </w:tc>
        <w:tc>
          <w:tcPr>
            <w:tcBorders>
              <w:top w:val="none" w:color="000000" w:sz="0"/>
              <w:left w:val="none" w:color="000000" w:sz="0"/>
              <w:bottom w:val="none" w:color="000000" w:sz="0"/>
              <w:right w:val="none" w:color="000000" w:sz="0"/>
            </w:tcBorders>
            <w:vAlign w:val="top"/>
          </w:tcPr>
          <w:p>
            <w:r>
              <w:t xml:space="preserve">Workers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 (including direct Commonwealth or State Government sourced funds)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WA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a mandatory item for national reporting in the:</w:t>
            </w:r>
          </w:p>
          <w:p>
            <w:hyperlink w:history="true" r:id="R13646383083f4d17">
              <w:r>
                <w:rPr>
                  <w:rStyle w:val="Hyperlink"/>
                </w:rPr>
                <w:t xml:space="preserve">Non-Admitted Patient DSS 2013-14</w:t>
              </w:r>
            </w:hyperlink>
          </w:p>
          <w:p>
            <w:pPr>
              <w:spacing w:after="160"/>
            </w:pPr>
            <w:r>
              <w:rPr>
                <w:rStyle w:val="row-content-rich-text"/>
              </w:rPr>
              <w:t xml:space="preserve"> </w:t>
            </w:r>
          </w:p>
          <w:p>
            <w:pPr>
              <w:spacing w:after="160"/>
            </w:pPr>
            <w:r>
              <w:rPr>
                <w:rStyle w:val="row-content-rich-text"/>
              </w:rPr>
              <w:t xml:space="preserve">It is reported nationally using the data element:</w:t>
            </w:r>
          </w:p>
          <w:p>
            <w:hyperlink w:history="true" r:id="Rf0b1f99e5f36428b">
              <w:r>
                <w:rPr>
                  <w:rStyle w:val="Hyperlink"/>
                </w:rPr>
                <w:t xml:space="preserve">Episode of care-source of funding, patient funding source code NN</w:t>
              </w:r>
            </w:hyperlink>
          </w:p>
          <w:p>
            <w:pPr>
              <w:spacing w:after="160"/>
            </w:pPr>
            <w:r>
              <w:rPr>
                <w:rStyle w:val="row-content-rich-text"/>
              </w:rPr>
              <w:t xml:space="preserve"> </w:t>
            </w:r>
          </w:p>
          <w:p>
            <w:pPr>
              <w:spacing w:after="160"/>
            </w:pPr>
            <w:r>
              <w:rPr>
                <w:rStyle w:val="row-content-rich-text"/>
              </w:rPr>
              <w:t xml:space="preserve">This data item is also a mandatory item for national reporting in the:</w:t>
            </w:r>
          </w:p>
          <w:p>
            <w:hyperlink w:history="true" r:id="R43488e211aec4b6e">
              <w:r>
                <w:rPr>
                  <w:rStyle w:val="Hyperlink"/>
                </w:rPr>
                <w:t xml:space="preserve">Activity based funding: Non-admitted patient care DSS 2013-2014</w:t>
              </w:r>
            </w:hyperlink>
          </w:p>
          <w:p>
            <w:hyperlink w:history="true" r:id="Rec76fb108ec247f8">
              <w:r>
                <w:rPr>
                  <w:rStyle w:val="Hyperlink"/>
                </w:rPr>
                <w:t xml:space="preserve">Activity based funding: Non-admitted patient care aggregate DSS 2013-2014</w:t>
              </w:r>
            </w:hyperlink>
          </w:p>
          <w:p>
            <w:hyperlink w:history="true" r:id="Ree3ef40e62674b17">
              <w:r>
                <w:rPr>
                  <w:rStyle w:val="Hyperlink"/>
                </w:rPr>
                <w:t xml:space="preserve">Non-admitted patient care aggregate NMDS 2013-14</w:t>
              </w:r>
            </w:hyperlink>
          </w:p>
          <w:p>
            <w:pPr>
              <w:spacing w:after="160"/>
            </w:pPr>
            <w:r>
              <w:rPr>
                <w:rStyle w:val="row-content-rich-text"/>
              </w:rPr>
              <w:t xml:space="preserve"> </w:t>
            </w:r>
          </w:p>
          <w:p>
            <w:pPr>
              <w:spacing w:after="160"/>
            </w:pPr>
            <w:r>
              <w:rPr>
                <w:rStyle w:val="row-content-rich-text"/>
              </w:rPr>
              <w:t xml:space="preserve">It is reported nationally using the data element:</w:t>
            </w:r>
          </w:p>
          <w:p>
            <w:hyperlink w:history="true" r:id="Rf143a0f5098447b7">
              <w:r>
                <w:rPr>
                  <w:rStyle w:val="Hyperlink"/>
                </w:rPr>
                <w:t xml:space="preserve">Non-admitted patient service event-principal source of funding, code NN</w:t>
              </w:r>
            </w:hyperlink>
          </w:p>
          <w:p>
            <w:pPr>
              <w:spacing w:after="160"/>
            </w:pPr>
            <w:r>
              <w:rPr>
                <w:rStyle w:val="row-content-rich-text"/>
              </w:rPr>
              <w:t xml:space="preserve"> </w:t>
            </w:r>
          </w:p>
          <w:p>
            <w:pPr>
              <w:spacing w:after="160"/>
            </w:pPr>
            <w:r>
              <w:rPr>
                <w:rStyle w:val="row-content-rich-text"/>
              </w:rPr>
              <w:t xml:space="preserve">Local codes are mapped to national codes for reporting purposes:</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tblGrid>
            <w:tr>
              <w:trPr/>
              <w:tc>
                <w:tcPr>
                  <w:tcW w:w="2800" w:type="pct"/>
                  <w:vAlign w:val="top"/>
                </w:tcPr>
                <w:p>
                  <w:pPr/>
                  <w:r>
                    <w:rPr>
                      <w:rStyle w:val="row-content-rich-text"/>
                    </w:rPr>
                    <w:t xml:space="preserve"> </w:t>
                  </w:r>
                  <w:r>
                    <w:rPr>
                      <w:rStyle w:val="row-content-rich-text"/>
                      <w:b/>
                    </w:rPr>
                    <w:t xml:space="preserve">Local (NAPAAWL) codes</w:t>
                  </w:r>
                </w:p>
              </w:tc>
              <w:tc>
                <w:tcPr>
                  <w:tcW w:w="2150" w:type="pct"/>
                  <w:vAlign w:val="top"/>
                </w:tcPr>
                <w:p>
                  <w:r>
                    <w:rPr>
                      <w:b/>
                    </w:rPr>
                    <w:t xml:space="preserve">National codes</w:t>
                  </w:r>
                </w:p>
              </w:tc>
            </w:tr>
            <w:tr>
              <w:trPr/>
              <w:tc>
                <w:tcPr>
                  <w:tcW w:w="2800" w:type="pct"/>
                  <w:vAlign w:val="top"/>
                </w:tcPr>
                <w:p>
                  <w:r>
                    <w:t xml:space="preserve">AHA Australian Health Care Agreement</w:t>
                  </w:r>
                </w:p>
              </w:tc>
              <w:tc>
                <w:tcPr>
                  <w:tcW w:w="2150" w:type="pct"/>
                  <w:vAlign w:val="top"/>
                </w:tcPr>
                <w:p>
                  <w:r>
                    <w:t xml:space="preserve">01 Health service budget (not covered elsewhere)</w:t>
                  </w:r>
                </w:p>
              </w:tc>
            </w:tr>
            <w:tr>
              <w:trPr/>
              <w:tc>
                <w:tcPr>
                  <w:tcW w:w="2800" w:type="pct"/>
                  <w:vAlign w:val="top"/>
                </w:tcPr>
                <w:p>
                  <w:r>
                    <w:t xml:space="preserve">REC Reciprocal Health Care Agreement</w:t>
                  </w:r>
                </w:p>
              </w:tc>
              <w:tc>
                <w:tcPr>
                  <w:tcW w:w="2150" w:type="pct"/>
                  <w:vAlign w:val="top"/>
                </w:tcPr>
                <w:p>
                  <w:r>
                    <w:t xml:space="preserve">02 Health service budget (reciprocal)</w:t>
                  </w:r>
                </w:p>
              </w:tc>
            </w:tr>
            <w:tr>
              <w:trPr/>
              <w:tc>
                <w:tcPr>
                  <w:tcW w:w="2800" w:type="pct"/>
                  <w:vAlign w:val="top"/>
                </w:tcPr>
                <w:p>
                  <w:r>
                    <w:t xml:space="preserve">VET Veterans' Affairs</w:t>
                  </w:r>
                </w:p>
              </w:tc>
              <w:tc>
                <w:tcPr>
                  <w:tcW w:w="2150" w:type="pct"/>
                  <w:vAlign w:val="top"/>
                </w:tcPr>
                <w:p>
                  <w:r>
                    <w:t xml:space="preserve">04 Department of Veterans' Affairs</w:t>
                  </w:r>
                </w:p>
              </w:tc>
            </w:tr>
            <w:tr>
              <w:trPr/>
              <w:tc>
                <w:tcPr>
                  <w:tcW w:w="2800" w:type="pct"/>
                  <w:vAlign w:val="top"/>
                </w:tcPr>
                <w:p>
                  <w:r>
                    <w:t xml:space="preserve">ADF Australian Defence Force</w:t>
                  </w:r>
                </w:p>
              </w:tc>
              <w:tc>
                <w:tcPr>
                  <w:tcW w:w="2150" w:type="pct"/>
                  <w:vAlign w:val="top"/>
                </w:tcPr>
                <w:p>
                  <w:r>
                    <w:t xml:space="preserve">05 Department of Defence</w:t>
                  </w:r>
                </w:p>
              </w:tc>
            </w:tr>
            <w:tr>
              <w:trPr/>
              <w:tc>
                <w:tcPr>
                  <w:tcW w:w="2800" w:type="pct"/>
                  <w:vAlign w:val="top"/>
                </w:tcPr>
                <w:p>
                  <w:r>
                    <w:t xml:space="preserve">COR Correctional facility</w:t>
                  </w:r>
                </w:p>
                <w:p>
                  <w:r>
                    <w:t xml:space="preserve">DET Detainee</w:t>
                  </w:r>
                </w:p>
              </w:tc>
              <w:tc>
                <w:tcPr>
                  <w:tcW w:w="2150" w:type="pct"/>
                  <w:vAlign w:val="top"/>
                </w:tcPr>
                <w:p>
                  <w:r>
                    <w:t xml:space="preserve">06 Correctional facility</w:t>
                  </w:r>
                </w:p>
              </w:tc>
            </w:tr>
            <w:tr>
              <w:trPr/>
              <w:tc>
                <w:tcPr>
                  <w:tcW w:w="2800" w:type="pct"/>
                  <w:vAlign w:val="top"/>
                </w:tcPr>
                <w:p>
                  <w:r>
                    <w:t xml:space="preserve">MBS Medicare Benefits Scheme (PRNI)</w:t>
                  </w:r>
                </w:p>
              </w:tc>
              <w:tc>
                <w:tcPr>
                  <w:tcW w:w="2150" w:type="pct"/>
                  <w:vAlign w:val="top"/>
                </w:tcPr>
                <w:p>
                  <w:r>
                    <w:t xml:space="preserve">07 Medicare Benefits Scheme</w:t>
                  </w:r>
                </w:p>
              </w:tc>
            </w:tr>
            <w:tr>
              <w:trPr/>
              <w:tc>
                <w:tcPr>
                  <w:tcW w:w="2800" w:type="pct"/>
                  <w:vAlign w:val="top"/>
                </w:tcPr>
                <w:p>
                  <w:r>
                    <w:t xml:space="preserve">PVT Private Insured</w:t>
                  </w:r>
                </w:p>
              </w:tc>
              <w:tc>
                <w:tcPr>
                  <w:tcW w:w="2150" w:type="pct"/>
                  <w:vAlign w:val="top"/>
                </w:tcPr>
                <w:p>
                  <w:r>
                    <w:t xml:space="preserve">09 Private Health Insurance</w:t>
                  </w:r>
                </w:p>
              </w:tc>
            </w:tr>
            <w:tr>
              <w:trPr/>
              <w:tc>
                <w:tcPr>
                  <w:tcW w:w="2800" w:type="pct"/>
                  <w:vAlign w:val="top"/>
                </w:tcPr>
                <w:p>
                  <w:r>
                    <w:t xml:space="preserve">SHI Shipping</w:t>
                  </w:r>
                </w:p>
                <w:p>
                  <w:r>
                    <w:t xml:space="preserve">WCC Workers' Compensation</w:t>
                  </w:r>
                </w:p>
              </w:tc>
              <w:tc>
                <w:tcPr>
                  <w:tcW w:w="2150" w:type="pct"/>
                  <w:vAlign w:val="top"/>
                </w:tcPr>
                <w:p>
                  <w:r>
                    <w:t xml:space="preserve">10 Workers' Compensation</w:t>
                  </w:r>
                </w:p>
              </w:tc>
            </w:tr>
            <w:tr>
              <w:trPr/>
              <w:tc>
                <w:tcPr>
                  <w:tcW w:w="2800" w:type="pct"/>
                  <w:vAlign w:val="top"/>
                </w:tcPr>
                <w:p>
                  <w:r>
                    <w:t xml:space="preserve">EMV Other states MVIT</w:t>
                  </w:r>
                </w:p>
                <w:p>
                  <w:r>
                    <w:t xml:space="preserve">WAM Western Australian MVIT</w:t>
                  </w:r>
                </w:p>
              </w:tc>
              <w:tc>
                <w:tcPr>
                  <w:tcW w:w="2150" w:type="pct"/>
                  <w:vAlign w:val="top"/>
                </w:tcPr>
                <w:p>
                  <w:r>
                    <w:t xml:space="preserve">11 Motor vehicle third party personal claim</w:t>
                  </w:r>
                </w:p>
              </w:tc>
            </w:tr>
            <w:tr>
              <w:trPr/>
              <w:tc>
                <w:tcPr>
                  <w:tcW w:w="2800" w:type="pct"/>
                  <w:vAlign w:val="top"/>
                </w:tcPr>
                <w:p>
                  <w:r>
                    <w:t xml:space="preserve">COM Compensable other</w:t>
                  </w:r>
                </w:p>
              </w:tc>
              <w:tc>
                <w:tcPr>
                  <w:tcW w:w="2150" w:type="pct"/>
                  <w:vAlign w:val="top"/>
                </w:tcPr>
                <w:p>
                  <w:r>
                    <w:t xml:space="preserve">12 Other compensation</w:t>
                  </w:r>
                </w:p>
              </w:tc>
            </w:tr>
            <w:tr>
              <w:trPr/>
              <w:tc>
                <w:tcPr>
                  <w:tcW w:w="2800" w:type="pct"/>
                  <w:vAlign w:val="top"/>
                </w:tcPr>
                <w:p>
                  <w:r>
                    <w:t xml:space="preserve">UNI Private uninsured</w:t>
                  </w:r>
                </w:p>
              </w:tc>
              <w:tc>
                <w:tcPr>
                  <w:tcW w:w="2150" w:type="pct"/>
                  <w:vAlign w:val="top"/>
                </w:tcPr>
                <w:p>
                  <w:r>
                    <w:t xml:space="preserve">13 Self-funded</w:t>
                  </w:r>
                </w:p>
              </w:tc>
            </w:tr>
            <w:tr>
              <w:trPr/>
              <w:tc>
                <w:tcPr>
                  <w:tcW w:w="2800" w:type="pct"/>
                  <w:vAlign w:val="top"/>
                </w:tcPr>
                <w:p>
                  <w:r>
                    <w:t xml:space="preserve">FOD Foreign Defence</w:t>
                  </w:r>
                </w:p>
                <w:p>
                  <w:r>
                    <w:t xml:space="preserve">OVS Overseas student</w:t>
                  </w:r>
                </w:p>
                <w:p>
                  <w:r>
                    <w:t xml:space="preserve">OVV Overseas visitor</w:t>
                  </w:r>
                </w:p>
                <w:p>
                  <w:r>
                    <w:t xml:space="preserve">INE Ineligible</w:t>
                  </w:r>
                </w:p>
                <w:p>
                  <w:r>
                    <w:t xml:space="preserve">OTH Other</w:t>
                  </w:r>
                </w:p>
              </w:tc>
              <w:tc>
                <w:tcPr>
                  <w:tcW w:w="2150" w:type="pct"/>
                  <w:vAlign w:val="top"/>
                </w:tcPr>
                <w:p>
                  <w:r>
                    <w:t xml:space="preserve">88 Other funding source</w:t>
                  </w:r>
                </w:p>
              </w:tc>
            </w:tr>
            <w:tr>
              <w:trPr/>
              <w:tc>
                <w:tcPr>
                  <w:tcW w:w="2800" w:type="pct"/>
                  <w:vAlign w:val="top"/>
                </w:tcPr>
                <w:p>
                  <w:r>
                    <w:t xml:space="preserve">UNK Unknown</w:t>
                  </w:r>
                </w:p>
                <w:p>
                  <w:r>
                    <w:t xml:space="preserve">NSP Not stated/inadequately described</w:t>
                  </w:r>
                </w:p>
              </w:tc>
              <w:tc>
                <w:tcPr>
                  <w:tcW w:w="2150" w:type="pct"/>
                  <w:vAlign w:val="top"/>
                </w:tcPr>
                <w:p>
                  <w:r>
                    <w:t xml:space="preserve">98 Not known</w:t>
                  </w:r>
                </w:p>
              </w:tc>
            </w:tr>
          </w:tbl>
          <w:p>
            <w:r>
              <w:t xml:space="preserve"> </w:t>
            </w:r>
          </w:p>
          <w:p>
            <w:r>
              <w:t xml:space="preserve"> </w:t>
            </w:r>
          </w:p>
          <w:p>
            <w:r>
              <w:t xml:space="preserve">The local version has the synonymous name APP_PAY_CLASS_CODE.</w:t>
            </w:r>
          </w:p>
          <w:p>
            <w:r>
              <w:t xml:space="preserve">The nationally reported version of this data item has the synonymous name FUNDING_SOURCE.</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2f78653daca4edc">
              <w:r>
                <w:rPr>
                  <w:rStyle w:val="Hyperlink"/>
                </w:rPr>
                <w:t xml:space="preserve">Appointment—principal source of funding, patient funding source code AAA</w:t>
              </w:r>
            </w:hyperlink>
          </w:p>
          <w:p>
            <w:pPr>
              <w:spacing w:before="0" w:after="0"/>
            </w:pPr>
            <w:r>
              <w:rPr>
                <w:rStyle w:val="row-content"/>
                <w:color w:val="244061"/>
              </w:rPr>
              <w:t xml:space="preserve">       </w:t>
            </w:r>
            <w:hyperlink w:history="true" r:id="R11637075cc9f4516">
              <w:r>
                <w:rPr>
                  <w:rStyle w:val="Hyperlink"/>
                  <w:color w:val="244061"/>
                </w:rPr>
                <w:t xml:space="preserve">WA Health</w:t>
              </w:r>
            </w:hyperlink>
            <w:r>
              <w:rPr>
                <w:rStyle w:val="row-content"/>
                <w:color w:val="244061"/>
              </w:rPr>
              <w:t xml:space="preserve">, Standard 24/04/2015</w:t>
            </w:r>
          </w:p>
          <w:p>
            <w:r>
              <w:br/>
            </w:r>
            <w:r>
              <w:rPr>
                <w:rStyle w:val="row-content"/>
              </w:rPr>
              <w:t xml:space="preserve">See also </w:t>
            </w:r>
            <w:hyperlink w:history="true" r:id="Rbb73c0180a7145fd">
              <w:r>
                <w:rPr>
                  <w:rStyle w:val="Hyperlink"/>
                </w:rPr>
                <w:t xml:space="preserve">Episode of care—source of funding, patient funding source code NN</w:t>
              </w:r>
            </w:hyperlink>
          </w:p>
          <w:p>
            <w:pPr>
              <w:spacing w:before="0" w:after="0"/>
            </w:pPr>
            <w:r>
              <w:rPr>
                <w:rStyle w:val="row-content"/>
                <w:color w:val="244061"/>
              </w:rPr>
              <w:t xml:space="preserve">       </w:t>
            </w:r>
            <w:hyperlink w:history="true" r:id="R5394d8e5db034dd6">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4fd301f82f8348f9">
              <w:r>
                <w:rPr>
                  <w:rStyle w:val="Hyperlink"/>
                </w:rPr>
                <w:t xml:space="preserve">Episode of care—source of funding, patient funding source code NN</w:t>
              </w:r>
            </w:hyperlink>
          </w:p>
          <w:p>
            <w:pPr>
              <w:spacing w:before="0" w:after="0"/>
            </w:pPr>
            <w:r>
              <w:rPr>
                <w:rStyle w:val="row-content"/>
                <w:color w:val="244061"/>
              </w:rPr>
              <w:t xml:space="preserve">       </w:t>
            </w:r>
            <w:hyperlink w:history="true" r:id="R7a004b8857c34d6d">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15ae238739444d59">
              <w:r>
                <w:rPr>
                  <w:rStyle w:val="Hyperlink"/>
                </w:rPr>
                <w:t xml:space="preserve">Episode of care—source of funding, patient funding source code NN</w:t>
              </w:r>
            </w:hyperlink>
          </w:p>
          <w:p>
            <w:pPr>
              <w:spacing w:before="0" w:after="0"/>
            </w:pPr>
            <w:r>
              <w:rPr>
                <w:rStyle w:val="row-content"/>
                <w:color w:val="244061"/>
              </w:rPr>
              <w:t xml:space="preserve">       </w:t>
            </w:r>
            <w:hyperlink w:history="true" r:id="Rd6eae0fe10d54ed1">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301f7cff70ab49a0">
              <w:r>
                <w:rPr>
                  <w:rStyle w:val="Hyperlink"/>
                </w:rPr>
                <w:t xml:space="preserve">Non-admitted patient service event—principal source of funding, code NN</w:t>
              </w:r>
            </w:hyperlink>
          </w:p>
          <w:p>
            <w:pPr>
              <w:spacing w:before="0" w:after="0"/>
            </w:pPr>
            <w:r>
              <w:rPr>
                <w:rStyle w:val="row-content"/>
                <w:color w:val="244061"/>
              </w:rPr>
              <w:t xml:space="preserve">       </w:t>
            </w:r>
            <w:hyperlink w:history="true" r:id="R5478910b99374496">
              <w:r>
                <w:rPr>
                  <w:rStyle w:val="Hyperlink"/>
                  <w:color w:val="244061"/>
                </w:rPr>
                <w:t xml:space="preserve">Health</w:t>
              </w:r>
            </w:hyperlink>
            <w:r>
              <w:rPr>
                <w:rStyle w:val="row-content"/>
                <w:color w:val="244061"/>
              </w:rPr>
              <w:t xml:space="preserve">, Superseded 11/04/2012</w:t>
            </w:r>
          </w:p>
          <w:p>
            <w:pPr>
              <w:spacing w:before="0" w:after="0"/>
            </w:pPr>
            <w:r>
              <w:rPr>
                <w:rStyle w:val="row-content"/>
                <w:color w:val="244061"/>
              </w:rPr>
              <w:t xml:space="preserve">       </w:t>
            </w:r>
            <w:hyperlink w:history="true" r:id="R60a1270b7c6246dc">
              <w:r>
                <w:rPr>
                  <w:rStyle w:val="Hyperlink"/>
                  <w:color w:val="244061"/>
                </w:rPr>
                <w:t xml:space="preserve">Independent Hospital Pricing Authority</w:t>
              </w:r>
            </w:hyperlink>
            <w:r>
              <w:rPr>
                <w:rStyle w:val="row-content"/>
                <w:color w:val="244061"/>
              </w:rPr>
              <w:t xml:space="preserve">, Standard 01/11/2012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12a58dbfcec440d">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fd21db2357c54cd9">
              <w:r>
                <w:rPr>
                  <w:rStyle w:val="Hyperlink"/>
                  <w:color w:val="244061"/>
                </w:rPr>
                <w:t xml:space="preserve">WA Health</w:t>
              </w:r>
            </w:hyperlink>
            <w:r>
              <w:rPr>
                <w:rStyle w:val="row-content"/>
                <w:color w:val="244061"/>
              </w:rPr>
              <w:t xml:space="preserve">, Standard 19/03/2015</w:t>
            </w:r>
          </w:p>
          <w:p>
            <w:r>
              <w:br/>
            </w:r>
          </w:p>
        </w:tc>
      </w:tr>
    </w:tbl>
    <w:p/>
    <w:tbl>
      <w:tblPr>
        <w:tblStyle w:val="TableGrid"/>
        <w:tblW w:w="0" w:type="auto"/>
      </w:tblPr>
    </w:tbl>
    <w:p>
      <w:r>
        <w:br/>
      </w:r>
    </w:p>
    <w:sectPr>
      <w:footerReference xmlns:r="http://schemas.openxmlformats.org/officeDocument/2006/relationships" w:type="default" r:id="Rd0500524539044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494134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9f94aa827549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500524539044b2" /><Relationship Type="http://schemas.openxmlformats.org/officeDocument/2006/relationships/header" Target="/word/header1.xml" Id="R41726afcfb7b4876" /><Relationship Type="http://schemas.openxmlformats.org/officeDocument/2006/relationships/settings" Target="/word/settings.xml" Id="Re2ce9d9d50db48ea" /><Relationship Type="http://schemas.openxmlformats.org/officeDocument/2006/relationships/styles" Target="/word/styles.xml" Id="R32e7aa8d26c44459" /><Relationship Type="http://schemas.openxmlformats.org/officeDocument/2006/relationships/hyperlink" Target="https://meteor.aihw.gov.au/RegistrationAuthority/2" TargetMode="External" Id="R9bfab1265a9d4b7c" /><Relationship Type="http://schemas.openxmlformats.org/officeDocument/2006/relationships/hyperlink" Target="https://meteor.aihw.gov.au/content/500499" TargetMode="External" Id="R1ab73cb282e84eb4" /><Relationship Type="http://schemas.openxmlformats.org/officeDocument/2006/relationships/hyperlink" Target="https://meteor.aihw.gov.au/content/494132" TargetMode="External" Id="R95ef7db060e74e6a" /><Relationship Type="http://schemas.openxmlformats.org/officeDocument/2006/relationships/hyperlink" Target="https://meteor.aihw.gov.au/content/509071" TargetMode="External" Id="R13646383083f4d17" /><Relationship Type="http://schemas.openxmlformats.org/officeDocument/2006/relationships/hyperlink" Target="https://meteor.aihw.gov.au/content/472033" TargetMode="External" Id="Rf0b1f99e5f36428b" /><Relationship Type="http://schemas.openxmlformats.org/officeDocument/2006/relationships/hyperlink" Target="https://meteor.aihw.gov.au/content/497531" TargetMode="External" Id="R43488e211aec4b6e" /><Relationship Type="http://schemas.openxmlformats.org/officeDocument/2006/relationships/hyperlink" Target="https://meteor.aihw.gov.au/content/497537" TargetMode="External" Id="Rec76fb108ec247f8" /><Relationship Type="http://schemas.openxmlformats.org/officeDocument/2006/relationships/hyperlink" Target="https://meteor.aihw.gov.au/content/508306" TargetMode="External" Id="Ree3ef40e62674b17" /><Relationship Type="http://schemas.openxmlformats.org/officeDocument/2006/relationships/hyperlink" Target="https://meteor.aihw.gov.au/content/400680" TargetMode="External" Id="Rf143a0f5098447b7" /><Relationship Type="http://schemas.openxmlformats.org/officeDocument/2006/relationships/hyperlink" Target="https://meteor.aihw.gov.au/content/606188" TargetMode="External" Id="Rc2f78653daca4edc" /><Relationship Type="http://schemas.openxmlformats.org/officeDocument/2006/relationships/hyperlink" Target="https://meteor.aihw.gov.au/RegistrationAuthority/2" TargetMode="External" Id="R11637075cc9f4516" /><Relationship Type="http://schemas.openxmlformats.org/officeDocument/2006/relationships/hyperlink" Target="https://meteor.aihw.gov.au/content/553314" TargetMode="External" Id="Rbb73c0180a7145fd" /><Relationship Type="http://schemas.openxmlformats.org/officeDocument/2006/relationships/hyperlink" Target="https://meteor.aihw.gov.au/RegistrationAuthority/12" TargetMode="External" Id="R5394d8e5db034dd6" /><Relationship Type="http://schemas.openxmlformats.org/officeDocument/2006/relationships/hyperlink" Target="https://meteor.aihw.gov.au/content/472033" TargetMode="External" Id="R4fd301f82f8348f9" /><Relationship Type="http://schemas.openxmlformats.org/officeDocument/2006/relationships/hyperlink" Target="https://meteor.aihw.gov.au/RegistrationAuthority/12" TargetMode="External" Id="R7a004b8857c34d6d" /><Relationship Type="http://schemas.openxmlformats.org/officeDocument/2006/relationships/hyperlink" Target="https://meteor.aihw.gov.au/content/649391" TargetMode="External" Id="R15ae238739444d59" /><Relationship Type="http://schemas.openxmlformats.org/officeDocument/2006/relationships/hyperlink" Target="https://meteor.aihw.gov.au/RegistrationAuthority/12" TargetMode="External" Id="Rd6eae0fe10d54ed1" /><Relationship Type="http://schemas.openxmlformats.org/officeDocument/2006/relationships/hyperlink" Target="https://meteor.aihw.gov.au/content/400680" TargetMode="External" Id="R301f7cff70ab49a0" /><Relationship Type="http://schemas.openxmlformats.org/officeDocument/2006/relationships/hyperlink" Target="https://meteor.aihw.gov.au/RegistrationAuthority/12" TargetMode="External" Id="R5478910b99374496" /><Relationship Type="http://schemas.openxmlformats.org/officeDocument/2006/relationships/hyperlink" Target="https://meteor.aihw.gov.au/RegistrationAuthority/3" TargetMode="External" Id="R60a1270b7c6246dc" /><Relationship Type="http://schemas.openxmlformats.org/officeDocument/2006/relationships/hyperlink" Target="https://meteor.aihw.gov.au/content/490816" TargetMode="External" Id="R312a58dbfcec440d" /><Relationship Type="http://schemas.openxmlformats.org/officeDocument/2006/relationships/hyperlink" Target="https://meteor.aihw.gov.au/RegistrationAuthority/2" TargetMode="External" Id="Rfd21db2357c54cd9" /></Relationships>
</file>

<file path=word/_rels/header1.xml.rels>&#65279;<?xml version="1.0" encoding="utf-8"?><Relationships xmlns="http://schemas.openxmlformats.org/package/2006/relationships"><Relationship Type="http://schemas.openxmlformats.org/officeDocument/2006/relationships/image" Target="/media/image.png" Id="R459f94aa827549dc" /></Relationships>
</file>