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117e2694504b8d" /></Relationships>
</file>

<file path=word/document.xml><?xml version="1.0" encoding="utf-8"?>
<w:document xmlns:r="http://schemas.openxmlformats.org/officeDocument/2006/relationships" xmlns:w="http://schemas.openxmlformats.org/wordprocessingml/2006/main">
  <w:body>
    <w:p>
      <w:pPr>
        <w:pStyle w:val="Title"/>
      </w:pPr>
      <w:r>
        <w:t>Public rental housing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rental housing DSS 2011-12</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eeecb83494664cca">
                    <w:r>
                      <w:rPr>
                        <w:rStyle w:val="Hyperlink"/>
                      </w:rPr>
                      <w:t xml:space="preserve">Dwelling (housing assistance) cluster</w:t>
                    </w:r>
                  </w:hyperlink>
                </w:p>
              </w:tc>
              <w:tc>
                <w:tcPr>
                  <w:vAlign w:val="top"/>
                </w:tcPr>
                <w:p>
                  <w:r>
                    <w:t xml:space="preserve">459147</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6019d94013084f0c">
                    <w:r>
                      <w:rPr>
                        <w:rStyle w:val="Hyperlink"/>
                      </w:rPr>
                      <w:t xml:space="preserve">Australian postcode (address)</w:t>
                    </w:r>
                  </w:hyperlink>
                </w:p>
              </w:tc>
              <w:tc>
                <w:tcPr>
                  <w:vAlign w:val="top"/>
                </w:tcPr>
                <w:p>
                  <w:r>
                    <w:t xml:space="preserve">429894</w:t>
                  </w:r>
                </w:p>
              </w:tc>
              <w:tc>
                <w:tcPr>
                  <w:vAlign w:val="top"/>
                </w:tcPr>
                <w:p>
                  <w:r>
                    <w:t xml:space="preserve">Number
[4]</w:t>
                  </w:r>
                </w:p>
              </w:tc>
              <w:tc>
                <w:tcPr>
                  <w:vAlign w:val="top"/>
                </w:tcPr>
                <w:p>
                  <w:r>
                    <w:t xml:space="preserve">{NNNN}</w:t>
                  </w:r>
                  <w:r>
                    <w:br/>
                  </w:r>
                </w:p>
                <w:p>
                  <w:r>
                    <w:t xml:space="preserve">The Postcode datafile code set representing Australian postcodes as defined by Australia Post.</w:t>
                  </w:r>
                </w:p>
              </w:tc>
            </w:tr>
            <w:tr>
              <w:trPr/>
              <w:tc>
                <w:tcPr>
                  <w:tcMar>
                    <w:right w:w="29" w:type="dxa"/>
                  </w:tcMar>
                  <w:vAlign w:val="top"/>
                </w:tcPr>
                <w:p>
                  <w:pPr>
                    <w:keepNext/>
                    <w:jc w:val="center"/>
                  </w:pPr>
                  <w:r>
                    <w:t xml:space="preserve">      -</w:t>
                  </w:r>
                </w:p>
              </w:tc>
              <w:tc>
                <w:tcPr>
                  <w:tcMar>
                    <w:left w:w="225" w:type="dxa"/>
                  </w:tcMar>
                  <w:vAlign w:val="top"/>
                </w:tcPr>
                <w:p>
                  <w:hyperlink w:history="true" r:id="R604b7fe1ca85488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db23bb98d764382">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71a2e969baf4bc6">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33276c17b55411d">
                    <w:r>
                      <w:rPr>
                        <w:rStyle w:val="Hyperlink"/>
                      </w:rPr>
                      <w:t xml:space="preserve">Dwelling redevelopment indicator</w:t>
                    </w:r>
                  </w:hyperlink>
                </w:p>
              </w:tc>
              <w:tc>
                <w:tcPr>
                  <w:vAlign w:val="top"/>
                </w:tcPr>
                <w:p>
                  <w:r>
                    <w:t xml:space="preserve">459053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444c26b4bd314ec4">
                    <w:r>
                      <w:rPr>
                        <w:rStyle w:val="Hyperlink"/>
                      </w:rPr>
                      <w:t xml:space="preserve">Number of bedrooms</w:t>
                    </w:r>
                  </w:hyperlink>
                </w:p>
              </w:tc>
              <w:tc>
                <w:tcPr>
                  <w:vAlign w:val="top"/>
                </w:tcPr>
                <w:p>
                  <w:r>
                    <w:t xml:space="preserve">479778</w:t>
                  </w:r>
                </w:p>
              </w:tc>
              <w:tc>
                <w:tcPr>
                  <w:vAlign w:val="top"/>
                </w:tcPr>
                <w:p>
                  <w:r>
                    <w:t xml:space="preserve">Number
[3]</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9793d4c9aff4ff3">
                    <w:r>
                      <w:rPr>
                        <w:rStyle w:val="Hyperlink"/>
                      </w:rPr>
                      <w:t xml:space="preserve">Dwelling occupancy status</w:t>
                    </w:r>
                  </w:hyperlink>
                </w:p>
              </w:tc>
              <w:tc>
                <w:tcPr>
                  <w:vAlign w:val="top"/>
                </w:tcPr>
                <w:p>
                  <w:r>
                    <w:t xml:space="preserve">302863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e721f2c7d484999">
                    <w:r>
                      <w:rPr>
                        <w:rStyle w:val="Hyperlink"/>
                      </w:rPr>
                      <w:t xml:space="preserve">Dwelling structure</w:t>
                    </w:r>
                  </w:hyperlink>
                </w:p>
              </w:tc>
              <w:tc>
                <w:tcPr>
                  <w:vAlign w:val="top"/>
                </w:tcPr>
                <w:p>
                  <w:r>
                    <w:t xml:space="preserve">270125</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Separate house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Semi-detached, row or terrace house, townhouse, etc.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Flat, unit or apartment</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Caravan, tent, cabin etc. in caravan park, houseboat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Caravan not in caravan park, houseboat not in marina, etc.</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Improvised home, tent, campers out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House or flat attached to a shop, office, etc.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Boarding/rooming house unit</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765105ce9ed4ad5">
                    <w:r>
                      <w:rPr>
                        <w:rStyle w:val="Hyperlink"/>
                      </w:rPr>
                      <w:t xml:space="preserve">Dwelling tenantability status</w:t>
                    </w:r>
                  </w:hyperlink>
                </w:p>
              </w:tc>
              <w:tc>
                <w:tcPr>
                  <w:vAlign w:val="top"/>
                </w:tcPr>
                <w:p>
                  <w:r>
                    <w:t xml:space="preserve">302930</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ef9162752674795">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2</w:t>
                  </w:r>
                </w:p>
              </w:tc>
              <w:tc>
                <w:tcPr>
                  <w:tcMar/>
                  <w:vAlign w:val="top"/>
                </w:tcPr>
                <w:p>
                  <w:hyperlink w:history="true" r:id="R893d749dcdf84776">
                    <w:r>
                      <w:rPr>
                        <w:rStyle w:val="Hyperlink"/>
                      </w:rPr>
                      <w:t xml:space="preserve">Dwelling history (housing assistance) cluster</w:t>
                    </w:r>
                  </w:hyperlink>
                </w:p>
              </w:tc>
              <w:tc>
                <w:tcPr>
                  <w:vAlign w:val="top"/>
                </w:tcPr>
                <w:p>
                  <w:r>
                    <w:t xml:space="preserve">478915</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0dd0f9accd64dab">
                    <w:r>
                      <w:rPr>
                        <w:rStyle w:val="Hyperlink"/>
                      </w:rPr>
                      <w:t xml:space="preserve">Dwelling Australian state/territory identifier</w:t>
                    </w:r>
                  </w:hyperlink>
                </w:p>
              </w:tc>
              <w:tc>
                <w:tcPr>
                  <w:vAlign w:val="top"/>
                </w:tcPr>
                <w:p>
                  <w:r>
                    <w:t xml:space="preserve">302044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a66c752b080425e">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e1392b8fc1cc4f10">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4499c96011b4842">
                    <w:r>
                      <w:rPr>
                        <w:rStyle w:val="Hyperlink"/>
                      </w:rPr>
                      <w:t xml:space="preserve">Vacant days</w:t>
                    </w:r>
                  </w:hyperlink>
                </w:p>
              </w:tc>
              <w:tc>
                <w:tcPr>
                  <w:vAlign w:val="top"/>
                </w:tcPr>
                <w:p>
                  <w:r>
                    <w:t xml:space="preserve">459071</w:t>
                  </w:r>
                </w:p>
              </w:tc>
              <w:tc>
                <w:tcPr>
                  <w:vAlign w:val="top"/>
                </w:tcPr>
                <w:p>
                  <w:r>
                    <w:t xml:space="preserve">Number
[4]</w:t>
                  </w:r>
                </w:p>
              </w:tc>
              <w:tc>
                <w:tcPr>
                  <w:vAlign w:val="top"/>
                </w:tcPr>
                <w:p>
                  <w:r>
                    <w:t xml:space="preserve">N[NNN]</w:t>
                  </w:r>
                  <w:r>
                    <w:br/>
                  </w:r>
                  <w:r>
                    <w:t xml:space="preserve">Total number of days.</w:t>
                  </w:r>
                </w:p>
              </w:tc>
            </w:tr>
            <w:tr>
              <w:trPr/>
              <w:tc>
                <w:tcPr>
                  <w:tcMar>
                    <w:right w:w="29" w:type="dxa"/>
                  </w:tcMar>
                  <w:vAlign w:val="top"/>
                </w:tcPr>
                <w:p>
                  <w:pPr>
                    <w:keepNext/>
                    <w:jc w:val="center"/>
                  </w:pPr>
                  <w:r>
                    <w:t xml:space="preserve">      -</w:t>
                  </w:r>
                </w:p>
              </w:tc>
              <w:tc>
                <w:tcPr>
                  <w:tcMar>
                    <w:left w:w="225" w:type="dxa"/>
                  </w:tcMar>
                  <w:vAlign w:val="top"/>
                </w:tcPr>
                <w:p>
                  <w:hyperlink w:history="true" r:id="Re7c15b2ac401416e">
                    <w:r>
                      <w:rPr>
                        <w:rStyle w:val="Hyperlink"/>
                      </w:rPr>
                      <w:t xml:space="preserve">Vacancy end date</w:t>
                    </w:r>
                  </w:hyperlink>
                </w:p>
              </w:tc>
              <w:tc>
                <w:tcPr>
                  <w:vAlign w:val="top"/>
                </w:tcPr>
                <w:p>
                  <w:r>
                    <w:t xml:space="preserve">474746</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0abde1c701ac46e0">
                    <w:r>
                      <w:rPr>
                        <w:rStyle w:val="Hyperlink"/>
                      </w:rPr>
                      <w:t xml:space="preserve">Vacancy reason</w:t>
                    </w:r>
                  </w:hyperlink>
                </w:p>
              </w:tc>
              <w:tc>
                <w:tcPr>
                  <w:vAlign w:val="top"/>
                </w:tcPr>
                <w:p>
                  <w:r>
                    <w:t xml:space="preserve">478921</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Dwellings that are available to rent through normal processes (including dwellings that are undergoing normal maintenance)</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Dwellings that are newly constructed, or purchased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Dwellings that have undergone major redevelopment work from when the certificate of occupancy was completed or the keys were received</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Dwellings that are considered hard-to-let</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Dwellings that are vacant because of other or unknown reasons</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Dwellings newly constructed, or purchased prior to the issue of the certificate of occupancy, or the receipt of keys</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Dwellings undergoing major redevelopment work prior to the certificate of occupancy being completed, or the keys being received (e.g. the time during which redevelopment work occurred)</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condition (e.g. uninhabitable condition and still waiting for repair)</w:t>
                        </w:r>
                      </w:p>
                    </w:tc>
                  </w:tr>
                  <w:tr>
                    <w:trPr/>
                    <w:tc>
                      <w:tcPr>
                        <w:tcW w:w="1000" w:type="pct"/>
                        <w:tcBorders>
                          <w:top w:val="none" w:color="000000" w:sz="0"/>
                          <w:left w:val="none" w:color="000000" w:sz="0"/>
                          <w:bottom w:val="none" w:color="000000" w:sz="0"/>
                          <w:right w:val="none" w:color="000000" w:sz="0"/>
                        </w:tcBorders>
                        <w:tcMar/>
                        <w:vAlign w:val="top"/>
                      </w:tcPr>
                      <w:p>
                        <w:r>
                          <w:t xml:space="preserve">2.4 </w:t>
                        </w:r>
                      </w:p>
                    </w:tc>
                    <w:tc>
                      <w:tcPr>
                        <w:tcBorders>
                          <w:top w:val="none" w:color="000000" w:sz="0"/>
                          <w:left w:val="none" w:color="000000" w:sz="0"/>
                          <w:bottom w:val="none" w:color="000000" w:sz="0"/>
                          <w:right w:val="none" w:color="000000" w:sz="0"/>
                        </w:tcBorders>
                        <w:tcMar/>
                        <w:vAlign w:val="top"/>
                      </w:tcPr>
                      <w:p>
                        <w:r>
                          <w:t xml:space="preserve">Dwellings that are offline or not available to rent through normal processes due to dwelling management (e.g. hold for sale, transfer or other management purpose)</w:t>
                        </w:r>
                      </w:p>
                    </w:tc>
                  </w:tr>
                  <w:tr>
                    <w:trPr/>
                    <w:tc>
                      <w:tcPr>
                        <w:tcW w:w="1000" w:type="pct"/>
                        <w:tcBorders>
                          <w:top w:val="none" w:color="000000" w:sz="0"/>
                          <w:left w:val="none" w:color="000000" w:sz="0"/>
                          <w:bottom w:val="none" w:color="000000" w:sz="0"/>
                          <w:right w:val="none" w:color="000000" w:sz="0"/>
                        </w:tcBorders>
                        <w:tcMar/>
                        <w:vAlign w:val="top"/>
                      </w:tcPr>
                      <w:p>
                        <w:r>
                          <w:t xml:space="preserve">2.5 </w:t>
                        </w:r>
                      </w:p>
                    </w:tc>
                    <w:tc>
                      <w:tcPr>
                        <w:tcBorders>
                          <w:top w:val="none" w:color="000000" w:sz="0"/>
                          <w:left w:val="none" w:color="000000" w:sz="0"/>
                          <w:bottom w:val="none" w:color="000000" w:sz="0"/>
                          <w:right w:val="none" w:color="000000" w:sz="0"/>
                        </w:tcBorders>
                        <w:tcMar/>
                        <w:vAlign w:val="top"/>
                      </w:tcPr>
                      <w:p>
                        <w:r>
                          <w:t xml:space="preserve">Dwellings for which there is no suitable applicant</w:t>
                        </w:r>
                      </w:p>
                    </w:tc>
                  </w:tr>
                  <w:tr>
                    <w:trPr/>
                    <w:tc>
                      <w:tcPr>
                        <w:tcW w:w="1000" w:type="pct"/>
                        <w:tcBorders>
                          <w:top w:val="none" w:color="000000" w:sz="0"/>
                          <w:left w:val="none" w:color="000000" w:sz="0"/>
                          <w:bottom w:val="none" w:color="000000" w:sz="0"/>
                          <w:right w:val="none" w:color="000000" w:sz="0"/>
                        </w:tcBorders>
                        <w:tcMar/>
                        <w:vAlign w:val="top"/>
                      </w:tcPr>
                      <w:p>
                        <w:r>
                          <w:t xml:space="preserve">2.6 </w:t>
                        </w:r>
                      </w:p>
                    </w:tc>
                    <w:tc>
                      <w:tcPr>
                        <w:tcBorders>
                          <w:top w:val="none" w:color="000000" w:sz="0"/>
                          <w:left w:val="none" w:color="000000" w:sz="0"/>
                          <w:bottom w:val="none" w:color="000000" w:sz="0"/>
                          <w:right w:val="none" w:color="000000" w:sz="0"/>
                        </w:tcBorders>
                        <w:tcMar/>
                        <w:vAlign w:val="top"/>
                      </w:tcPr>
                      <w:p>
                        <w:r>
                          <w:t xml:space="preserve">Dwellings that are excluded because of other or unknown reasons</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f1d40daf3f41fc">
                    <w:r>
                      <w:rPr>
                        <w:rStyle w:val="Hyperlink"/>
                      </w:rPr>
                      <w:t xml:space="preserve">Vacancy start date</w:t>
                    </w:r>
                  </w:hyperlink>
                </w:p>
              </w:tc>
              <w:tc>
                <w:tcPr>
                  <w:vAlign w:val="top"/>
                </w:tcPr>
                <w:p>
                  <w:r>
                    <w:t xml:space="preserve">473940</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3</w:t>
                  </w:r>
                </w:p>
              </w:tc>
              <w:tc>
                <w:tcPr>
                  <w:tcMar/>
                  <w:vAlign w:val="top"/>
                </w:tcPr>
                <w:p>
                  <w:hyperlink w:history="true" r:id="R5b4c98982b16441c">
                    <w:r>
                      <w:rPr>
                        <w:rStyle w:val="Hyperlink"/>
                      </w:rPr>
                      <w:t xml:space="preserve">Household (housing assistance) cluster</w:t>
                    </w:r>
                  </w:hyperlink>
                </w:p>
              </w:tc>
              <w:tc>
                <w:tcPr>
                  <w:vAlign w:val="top"/>
                </w:tcPr>
                <w:p>
                  <w:r>
                    <w:t xml:space="preserve">459886</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256e0e40249f43b4">
                    <w:r>
                      <w:rPr>
                        <w:rStyle w:val="Hyperlink"/>
                      </w:rPr>
                      <w:t xml:space="preserve">Dwelling identifier</w:t>
                    </w:r>
                  </w:hyperlink>
                </w:p>
              </w:tc>
              <w:tc>
                <w:tcPr>
                  <w:vAlign w:val="top"/>
                </w:tcPr>
                <w:p>
                  <w:r>
                    <w:t xml:space="preserve">302656</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749ee936e7394411">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08044c433564fba">
                    <w:r>
                      <w:rPr>
                        <w:rStyle w:val="Hyperlink"/>
                      </w:rPr>
                      <w:t xml:space="preserve">Number of occupants</w:t>
                    </w:r>
                  </w:hyperlink>
                </w:p>
              </w:tc>
              <w:tc>
                <w:tcPr>
                  <w:vAlign w:val="top"/>
                </w:tcPr>
                <w:p>
                  <w:r>
                    <w:t xml:space="preserve">479783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bba7d006a954901">
                    <w:r>
                      <w:rPr>
                        <w:rStyle w:val="Hyperlink"/>
                      </w:rPr>
                      <w:t xml:space="preserve">Market rent weekly value</w:t>
                    </w:r>
                  </w:hyperlink>
                </w:p>
              </w:tc>
              <w:tc>
                <w:tcPr>
                  <w:vAlign w:val="top"/>
                </w:tcPr>
                <w:p>
                  <w:r>
                    <w:t xml:space="preserve">444432</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d76c4bca8a84b77">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151be537d1e745f8">
                    <w:r>
                      <w:rPr>
                        <w:rStyle w:val="Hyperlink"/>
                      </w:rPr>
                      <w:t xml:space="preserve">Assessable weekly income</w:t>
                    </w:r>
                  </w:hyperlink>
                </w:p>
              </w:tc>
              <w:tc>
                <w:tcPr>
                  <w:vAlign w:val="top"/>
                </w:tcPr>
                <w:p>
                  <w:r>
                    <w:t xml:space="preserve">462194</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319d5c415bba4ed2">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186f49d0e131414a">
                    <w:r>
                      <w:rPr>
                        <w:rStyle w:val="Hyperlink"/>
                      </w:rPr>
                      <w:t xml:space="preserve">Disability household</w:t>
                    </w:r>
                  </w:hyperlink>
                </w:p>
              </w:tc>
              <w:tc>
                <w:tcPr>
                  <w:vAlign w:val="top"/>
                </w:tcPr>
                <w:p>
                  <w:r>
                    <w:t xml:space="preserve">302949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0a39461c0954470">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081dca0f0cd4561">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bbe8f732364354">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a66439564f14099">
                    <w:r>
                      <w:rPr>
                        <w:rStyle w:val="Hyperlink"/>
                      </w:rPr>
                      <w:t xml:space="preserve">Household weekly gross income </w:t>
                    </w:r>
                  </w:hyperlink>
                </w:p>
              </w:tc>
              <w:tc>
                <w:tcPr>
                  <w:vAlign w:val="top"/>
                </w:tcPr>
                <w:p>
                  <w:r>
                    <w:t xml:space="preserve">452645</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82d66531180342b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b7ea895343c748c0">
                    <w:r>
                      <w:rPr>
                        <w:rStyle w:val="Hyperlink"/>
                      </w:rPr>
                      <w:t xml:space="preserve">Household Indigenous status</w:t>
                    </w:r>
                  </w:hyperlink>
                </w:p>
              </w:tc>
              <w:tc>
                <w:tcPr>
                  <w:vAlign w:val="top"/>
                </w:tcPr>
                <w:p>
                  <w:r>
                    <w:t xml:space="preserve">460738</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56813ef69ab41a1">
                    <w:r>
                      <w:rPr>
                        <w:rStyle w:val="Hyperlink"/>
                      </w:rPr>
                      <w:t xml:space="preserve">New allocation status</w:t>
                    </w:r>
                  </w:hyperlink>
                </w:p>
              </w:tc>
              <w:tc>
                <w:tcPr>
                  <w:vAlign w:val="top"/>
                </w:tcPr>
                <w:p>
                  <w:r>
                    <w:t xml:space="preserve">301783</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0f1c8c490a44494e">
                    <w:r>
                      <w:rPr>
                        <w:rStyle w:val="Hyperlink"/>
                      </w:rPr>
                      <w:t xml:space="preserve">Rebated household status</w:t>
                    </w:r>
                  </w:hyperlink>
                </w:p>
              </w:tc>
              <w:tc>
                <w:tcPr>
                  <w:vAlign w:val="top"/>
                </w:tcPr>
                <w:p>
                  <w:r>
                    <w:t xml:space="preserve">302581</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55671b0895047a3">
                    <w:r>
                      <w:rPr>
                        <w:rStyle w:val="Hyperlink"/>
                      </w:rPr>
                      <w:t xml:space="preserve">Rent charged</w:t>
                    </w:r>
                  </w:hyperlink>
                </w:p>
              </w:tc>
              <w:tc>
                <w:tcPr>
                  <w:vAlign w:val="top"/>
                </w:tcPr>
                <w:p>
                  <w:r>
                    <w:t xml:space="preserve">302600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dfffd8fbd6764a34">
                    <w:r>
                      <w:rPr>
                        <w:rStyle w:val="Hyperlink"/>
                      </w:rPr>
                      <w:t xml:space="preserve">Transfer status</w:t>
                    </w:r>
                  </w:hyperlink>
                </w:p>
              </w:tc>
              <w:tc>
                <w:tcPr>
                  <w:vAlign w:val="top"/>
                </w:tcPr>
                <w:p>
                  <w:r>
                    <w:t xml:space="preserve">301987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9052a3de48154397">
                    <w:r>
                      <w:rPr>
                        <w:rStyle w:val="Hyperlink"/>
                      </w:rPr>
                      <w:t xml:space="preserve">Household weekly rebate amount</w:t>
                    </w:r>
                  </w:hyperlink>
                </w:p>
              </w:tc>
              <w:tc>
                <w:tcPr>
                  <w:vAlign w:val="top"/>
                </w:tcPr>
                <w:p>
                  <w:r>
                    <w:t xml:space="preserve">461250</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66caea88bac44cbe">
                    <w:r>
                      <w:rPr>
                        <w:rStyle w:val="Hyperlink"/>
                      </w:rPr>
                      <w:t xml:space="preserve">Tenancy end date</w:t>
                    </w:r>
                  </w:hyperlink>
                </w:p>
              </w:tc>
              <w:tc>
                <w:tcPr>
                  <w:vAlign w:val="top"/>
                </w:tcPr>
                <w:p>
                  <w:r>
                    <w:t xml:space="preserve">498318</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b19d5da522bc4f03">
                    <w:r>
                      <w:rPr>
                        <w:rStyle w:val="Hyperlink"/>
                      </w:rPr>
                      <w:t xml:space="preserve">Tenancy start date</w:t>
                    </w:r>
                  </w:hyperlink>
                </w:p>
              </w:tc>
              <w:tc>
                <w:tcPr>
                  <w:vAlign w:val="top"/>
                </w:tcPr>
                <w:p>
                  <w:r>
                    <w:t xml:space="preserve">474692</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91a78f6697384694">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4</w:t>
                  </w:r>
                </w:p>
              </w:tc>
              <w:tc>
                <w:tcPr>
                  <w:tcMar/>
                  <w:vAlign w:val="top"/>
                </w:tcPr>
                <w:p>
                  <w:hyperlink w:history="true" r:id="Rec41ab757b89450e">
                    <w:r>
                      <w:rPr>
                        <w:rStyle w:val="Hyperlink"/>
                      </w:rPr>
                      <w:t xml:space="preserve">Person (housing assistance) cluster</w:t>
                    </w:r>
                  </w:hyperlink>
                </w:p>
              </w:tc>
              <w:tc>
                <w:tcPr>
                  <w:vAlign w:val="top"/>
                </w:tcPr>
                <w:p>
                  <w:r>
                    <w:t xml:space="preserve">459133</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c37963eb6e61461d">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2b9ad69fd67d4019">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c1908ee255c6441a">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5b49358f82864482">
                    <w:r>
                      <w:rPr>
                        <w:rStyle w:val="Hyperlink"/>
                      </w:rPr>
                      <w:t xml:space="preserve">Relationship within income unit</w:t>
                    </w:r>
                  </w:hyperlink>
                </w:p>
              </w:tc>
              <w:tc>
                <w:tcPr>
                  <w:vAlign w:val="top"/>
                </w:tcPr>
                <w:p>
                  <w:r>
                    <w:t xml:space="preserve">301840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Income unit 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Dependant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Dependant aged between 16 and 24 years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ef1cc37a8694501">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56ed7c5d87f47ae">
                    <w:r>
                      <w:rPr>
                        <w:rStyle w:val="Hyperlink"/>
                      </w:rPr>
                      <w:t xml:space="preserve">Date of birth</w:t>
                    </w:r>
                  </w:hyperlink>
                </w:p>
              </w:tc>
              <w:tc>
                <w:tcPr>
                  <w:vAlign w:val="top"/>
                </w:tcPr>
                <w:p>
                  <w:r>
                    <w:t xml:space="preserve">287007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518b89682d1645b1">
                    <w:r>
                      <w:rPr>
                        <w:rStyle w:val="Hyperlink"/>
                      </w:rPr>
                      <w:t xml:space="preserve">Disability status</w:t>
                    </w:r>
                  </w:hyperlink>
                </w:p>
              </w:tc>
              <w:tc>
                <w:tcPr>
                  <w:vAlign w:val="top"/>
                </w:tcPr>
                <w:p>
                  <w:r>
                    <w:t xml:space="preserve">312934</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4c5eaaac3894043">
                    <w:r>
                      <w:rPr>
                        <w:rStyle w:val="Hyperlink"/>
                      </w:rPr>
                      <w:t xml:space="preserve">Single/couple status</w:t>
                    </w:r>
                  </w:hyperlink>
                </w:p>
              </w:tc>
              <w:tc>
                <w:tcPr>
                  <w:vAlign w:val="top"/>
                </w:tcPr>
                <w:p>
                  <w:r>
                    <w:t xml:space="preserve">456321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Single status OR couple relationship with non-household member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Couple relationship with another household member (de facto or married)</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5236b7836d246c2">
                    <w:r>
                      <w:rPr>
                        <w:rStyle w:val="Hyperlink"/>
                      </w:rPr>
                      <w:t xml:space="preserve">Indigenous status</w:t>
                    </w:r>
                  </w:hyperlink>
                </w:p>
              </w:tc>
              <w:tc>
                <w:tcPr>
                  <w:vAlign w:val="top"/>
                </w:tcPr>
                <w:p>
                  <w:r>
                    <w:t xml:space="preserve">291036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Aboriginal but not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Torres Strait Islander but not Aboriginal origin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Both Aboriginal and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Neither Aboriginal nor Torres Strait Islander origin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55b446c47ead4397">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67b1a3179f2f41ab">
                    <w:r>
                      <w:rPr>
                        <w:rStyle w:val="Hyperlink"/>
                      </w:rPr>
                      <w:t xml:space="preserve">Relationship to reference person</w:t>
                    </w:r>
                  </w:hyperlink>
                </w:p>
              </w:tc>
              <w:tc>
                <w:tcPr>
                  <w:vAlign w:val="top"/>
                </w:tcPr>
                <w:p>
                  <w:r>
                    <w:t xml:space="preserve">270248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Reference person/tenant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Spouse/partner</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Son/daughter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Son/daughter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Resident aged less than 16 years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Resident aged 16 years and over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351cdf314a84944">
                    <w:r>
                      <w:rPr>
                        <w:rStyle w:val="Hyperlink"/>
                      </w:rPr>
                      <w:t xml:space="preserve">Sex</w:t>
                    </w:r>
                  </w:hyperlink>
                </w:p>
              </w:tc>
              <w:tc>
                <w:tcPr>
                  <w:vAlign w:val="top"/>
                </w:tcPr>
                <w:p>
                  <w:r>
                    <w:t xml:space="preserve">287316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Male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Female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Intersex or indeterminate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683d1033757f4e5b">
                    <w:r>
                      <w:rPr>
                        <w:rStyle w:val="Hyperlink"/>
                      </w:rPr>
                      <w:t xml:space="preserve">Person income (housing assistance) cluster</w:t>
                    </w:r>
                  </w:hyperlink>
                </w:p>
              </w:tc>
              <w:tc>
                <w:tcPr>
                  <w:vAlign w:val="top"/>
                </w:tcPr>
                <w:p>
                  <w:r>
                    <w:t xml:space="preserve">478940</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19569b47ac2f4069">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edce3fce244b4fda">
                    <w:r>
                      <w:rPr>
                        <w:rStyle w:val="Hyperlink"/>
                      </w:rPr>
                      <w:t xml:space="preserve">Household identifier</w:t>
                    </w:r>
                  </w:hyperlink>
                </w:p>
              </w:tc>
              <w:tc>
                <w:tcPr>
                  <w:vAlign w:val="top"/>
                </w:tcPr>
                <w:p>
                  <w:r>
                    <w:t xml:space="preserve">302662</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d68e193c238e4a5d">
                    <w:r>
                      <w:rPr>
                        <w:rStyle w:val="Hyperlink"/>
                      </w:rPr>
                      <w:t xml:space="preserve">Income unit ID</w:t>
                    </w:r>
                  </w:hyperlink>
                </w:p>
              </w:tc>
              <w:tc>
                <w:tcPr>
                  <w:vAlign w:val="top"/>
                </w:tcPr>
                <w:p>
                  <w:r>
                    <w:t xml:space="preserve">302669</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42f61816c6cf4d6e">
                    <w:r>
                      <w:rPr>
                        <w:rStyle w:val="Hyperlink"/>
                      </w:rPr>
                      <w:t xml:space="preserve">Income - assessable</w:t>
                    </w:r>
                  </w:hyperlink>
                </w:p>
              </w:tc>
              <w:tc>
                <w:tcPr>
                  <w:vAlign w:val="top"/>
                </w:tcPr>
                <w:p>
                  <w:r>
                    <w:t xml:space="preserve">302218</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a65d5e3d984d4d05">
                    <w:r>
                      <w:rPr>
                        <w:rStyle w:val="Hyperlink"/>
                      </w:rPr>
                      <w:t xml:space="preserve">Australian state/territory identifier (person)</w:t>
                    </w:r>
                  </w:hyperlink>
                </w:p>
              </w:tc>
              <w:tc>
                <w:tcPr>
                  <w:vAlign w:val="top"/>
                </w:tcPr>
                <w:p>
                  <w:r>
                    <w:t xml:space="preserve">286919</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c3f818614f8044bd">
                    <w:r>
                      <w:rPr>
                        <w:rStyle w:val="Hyperlink"/>
                      </w:rPr>
                      <w:t xml:space="preserve">Gross income (person)</w:t>
                    </w:r>
                  </w:hyperlink>
                </w:p>
              </w:tc>
              <w:tc>
                <w:tcPr>
                  <w:vAlign w:val="top"/>
                </w:tcPr>
                <w:p>
                  <w:r>
                    <w:t xml:space="preserve">302481</w:t>
                  </w:r>
                </w:p>
              </w:tc>
              <w:tc>
                <w:tcPr>
                  <w:vAlign w:val="top"/>
                </w:tcPr>
                <w:p>
                  <w:r>
                    <w:t xml:space="preserve">Currency
[8]</w:t>
                  </w:r>
                </w:p>
              </w:tc>
              <w:tc>
                <w:tcPr>
                  <w:vAlign w:val="top"/>
                </w:tcPr>
                <w:p>
                  <w:r>
                    <w:t xml:space="preserve">N[NNNNN].NN</w:t>
                  </w:r>
                  <w:r>
                    <w:br/>
                  </w:r>
                  <w:r>
                    <w:t xml:space="preserve">Total number of Australian dollars and cents.</w:t>
                  </w:r>
                </w:p>
              </w:tc>
            </w:tr>
            <w:tr>
              <w:trPr/>
              <w:tc>
                <w:tcPr>
                  <w:tcMar>
                    <w:right w:w="29" w:type="dxa"/>
                  </w:tcMar>
                  <w:vAlign w:val="top"/>
                </w:tcPr>
                <w:p>
                  <w:pPr>
                    <w:keepNext/>
                    <w:jc w:val="center"/>
                  </w:pPr>
                  <w:r>
                    <w:t xml:space="preserve">      -</w:t>
                  </w:r>
                </w:p>
              </w:tc>
              <w:tc>
                <w:tcPr>
                  <w:tcMar>
                    <w:left w:w="225" w:type="dxa"/>
                  </w:tcMar>
                  <w:vAlign w:val="top"/>
                </w:tcPr>
                <w:p>
                  <w:hyperlink w:history="true" r:id="R00bbebd9b0b24529">
                    <w:r>
                      <w:rPr>
                        <w:rStyle w:val="Hyperlink"/>
                      </w:rPr>
                      <w:t xml:space="preserve">Person ID</w:t>
                    </w:r>
                  </w:hyperlink>
                </w:p>
              </w:tc>
              <w:tc>
                <w:tcPr>
                  <w:vAlign w:val="top"/>
                </w:tcPr>
                <w:p>
                  <w:r>
                    <w:t xml:space="preserve">302678</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r>
              <w:trPr/>
              <w:tc>
                <w:tcPr>
                  <w:tcMar>
                    <w:right w:w="29" w:type="dxa"/>
                  </w:tcMar>
                  <w:vAlign w:val="top"/>
                </w:tcPr>
                <w:p>
                  <w:pPr>
                    <w:keepNext/>
                    <w:jc w:val="center"/>
                  </w:pPr>
                  <w:r>
                    <w:t xml:space="preserve">      -</w:t>
                  </w:r>
                </w:p>
              </w:tc>
              <w:tc>
                <w:tcPr>
                  <w:tcMar>
                    <w:left w:w="225" w:type="dxa"/>
                  </w:tcMar>
                  <w:vAlign w:val="top"/>
                </w:tcPr>
                <w:p>
                  <w:hyperlink w:history="true" r:id="R091bc501bbc84ee7">
                    <w:r>
                      <w:rPr>
                        <w:rStyle w:val="Hyperlink"/>
                      </w:rPr>
                      <w:t xml:space="preserve">Principal income source (housing)</w:t>
                    </w:r>
                  </w:hyperlink>
                </w:p>
              </w:tc>
              <w:tc>
                <w:tcPr>
                  <w:vAlign w:val="top"/>
                </w:tcPr>
                <w:p>
                  <w:r>
                    <w:t xml:space="preserve">479197</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cc6a88bb5b34767">
                    <w:r>
                      <w:rPr>
                        <w:rStyle w:val="Hyperlink"/>
                      </w:rPr>
                      <w:t xml:space="preserve">Sources of income (housing)</w:t>
                    </w:r>
                  </w:hyperlink>
                </w:p>
              </w:tc>
              <w:tc>
                <w:tcPr>
                  <w:vAlign w:val="top"/>
                </w:tcPr>
                <w:p>
                  <w:r>
                    <w:t xml:space="preserve">513378</w:t>
                  </w:r>
                </w:p>
              </w:tc>
              <w:tc>
                <w:tcPr>
                  <w:vAlign w:val="top"/>
                </w:tcPr>
                <w:p>
                  <w:r>
                    <w:t xml:space="preserve">Number
[4]</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Employee cash income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Unincorporated business income</w:t>
                        </w:r>
                      </w:p>
                    </w:tc>
                  </w:tr>
                  <w:tr>
                    <w:trPr/>
                    <w:tc>
                      <w:tcPr>
                        <w:tcW w:w="1000" w:type="pct"/>
                        <w:tcBorders>
                          <w:top w:val="none" w:color="000000" w:sz="0"/>
                          <w:left w:val="none" w:color="000000" w:sz="0"/>
                          <w:bottom w:val="none" w:color="000000" w:sz="0"/>
                          <w:right w:val="none" w:color="000000" w:sz="0"/>
                        </w:tcBorders>
                        <w:tcMar/>
                        <w:vAlign w:val="top"/>
                      </w:tcPr>
                      <w:p>
                        <w:r>
                          <w:t xml:space="preserve">3.1.1 </w:t>
                        </w:r>
                      </w:p>
                    </w:tc>
                    <w:tc>
                      <w:tcPr>
                        <w:tcBorders>
                          <w:top w:val="none" w:color="000000" w:sz="0"/>
                          <w:left w:val="none" w:color="000000" w:sz="0"/>
                          <w:bottom w:val="none" w:color="000000" w:sz="0"/>
                          <w:right w:val="none" w:color="000000" w:sz="0"/>
                        </w:tcBorders>
                        <w:tcMar/>
                        <w:vAlign w:val="top"/>
                      </w:tcPr>
                      <w:p>
                        <w:r>
                          <w:t xml:space="preserve">Youth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3.1.2 </w:t>
                        </w:r>
                      </w:p>
                    </w:tc>
                    <w:tc>
                      <w:tcPr>
                        <w:tcBorders>
                          <w:top w:val="none" w:color="000000" w:sz="0"/>
                          <w:left w:val="none" w:color="000000" w:sz="0"/>
                          <w:bottom w:val="none" w:color="000000" w:sz="0"/>
                          <w:right w:val="none" w:color="000000" w:sz="0"/>
                        </w:tcBorders>
                        <w:tcMar/>
                        <w:vAlign w:val="top"/>
                      </w:tcPr>
                      <w:p>
                        <w:r>
                          <w:t xml:space="preserve">Newstart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3.1.3 </w:t>
                        </w:r>
                      </w:p>
                    </w:tc>
                    <w:tc>
                      <w:tcPr>
                        <w:tcBorders>
                          <w:top w:val="none" w:color="000000" w:sz="0"/>
                          <w:left w:val="none" w:color="000000" w:sz="0"/>
                          <w:bottom w:val="none" w:color="000000" w:sz="0"/>
                          <w:right w:val="none" w:color="000000" w:sz="0"/>
                        </w:tcBorders>
                        <w:tcMar/>
                        <w:vAlign w:val="top"/>
                      </w:tcPr>
                      <w:p>
                        <w:r>
                          <w:t xml:space="preserve">Other allowances for students and the unemployed</w:t>
                        </w:r>
                      </w:p>
                    </w:tc>
                  </w:tr>
                  <w:tr>
                    <w:trPr/>
                    <w:tc>
                      <w:tcPr>
                        <w:tcW w:w="1000" w:type="pct"/>
                        <w:tcBorders>
                          <w:top w:val="none" w:color="000000" w:sz="0"/>
                          <w:left w:val="none" w:color="000000" w:sz="0"/>
                          <w:bottom w:val="none" w:color="000000" w:sz="0"/>
                          <w:right w:val="none" w:color="000000" w:sz="0"/>
                        </w:tcBorders>
                        <w:tcMar/>
                        <w:vAlign w:val="top"/>
                      </w:tcPr>
                      <w:p>
                        <w:r>
                          <w:t xml:space="preserve">3.2.1 </w:t>
                        </w:r>
                      </w:p>
                    </w:tc>
                    <w:tc>
                      <w:tcPr>
                        <w:tcBorders>
                          <w:top w:val="none" w:color="000000" w:sz="0"/>
                          <w:left w:val="none" w:color="000000" w:sz="0"/>
                          <w:bottom w:val="none" w:color="000000" w:sz="0"/>
                          <w:right w:val="none" w:color="000000" w:sz="0"/>
                        </w:tcBorders>
                        <w:tcMar/>
                        <w:vAlign w:val="top"/>
                      </w:tcPr>
                      <w:p>
                        <w:r>
                          <w:t xml:space="preserve">Age pension</w:t>
                        </w:r>
                      </w:p>
                    </w:tc>
                  </w:tr>
                  <w:tr>
                    <w:trPr/>
                    <w:tc>
                      <w:tcPr>
                        <w:tcW w:w="1000" w:type="pct"/>
                        <w:tcBorders>
                          <w:top w:val="none" w:color="000000" w:sz="0"/>
                          <w:left w:val="none" w:color="000000" w:sz="0"/>
                          <w:bottom w:val="none" w:color="000000" w:sz="0"/>
                          <w:right w:val="none" w:color="000000" w:sz="0"/>
                        </w:tcBorders>
                        <w:tcMar/>
                        <w:vAlign w:val="top"/>
                      </w:tcPr>
                      <w:p>
                        <w:r>
                          <w:t xml:space="preserve">3.2.2 </w:t>
                        </w:r>
                      </w:p>
                    </w:tc>
                    <w:tc>
                      <w:tcPr>
                        <w:tcBorders>
                          <w:top w:val="none" w:color="000000" w:sz="0"/>
                          <w:left w:val="none" w:color="000000" w:sz="0"/>
                          <w:bottom w:val="none" w:color="000000" w:sz="0"/>
                          <w:right w:val="none" w:color="000000" w:sz="0"/>
                        </w:tcBorders>
                        <w:tcMar/>
                        <w:vAlign w:val="top"/>
                      </w:tcPr>
                      <w:p>
                        <w:r>
                          <w:t xml:space="preserve">Disability Support pension</w:t>
                        </w:r>
                      </w:p>
                    </w:tc>
                  </w:tr>
                  <w:tr>
                    <w:trPr/>
                    <w:tc>
                      <w:tcPr>
                        <w:tcW w:w="1000" w:type="pct"/>
                        <w:tcBorders>
                          <w:top w:val="none" w:color="000000" w:sz="0"/>
                          <w:left w:val="none" w:color="000000" w:sz="0"/>
                          <w:bottom w:val="none" w:color="000000" w:sz="0"/>
                          <w:right w:val="none" w:color="000000" w:sz="0"/>
                        </w:tcBorders>
                        <w:tcMar/>
                        <w:vAlign w:val="top"/>
                      </w:tcPr>
                      <w:p>
                        <w:r>
                          <w:t xml:space="preserve">3.2.3 </w:t>
                        </w:r>
                      </w:p>
                    </w:tc>
                    <w:tc>
                      <w:tcPr>
                        <w:tcBorders>
                          <w:top w:val="none" w:color="000000" w:sz="0"/>
                          <w:left w:val="none" w:color="000000" w:sz="0"/>
                          <w:bottom w:val="none" w:color="000000" w:sz="0"/>
                          <w:right w:val="none" w:color="000000" w:sz="0"/>
                        </w:tcBorders>
                        <w:tcMar/>
                        <w:vAlign w:val="top"/>
                      </w:tcPr>
                      <w:p>
                        <w:r>
                          <w:t xml:space="preserve">Other Centrelink pensions/allowances for the aged and people with disability</w:t>
                        </w:r>
                      </w:p>
                    </w:tc>
                  </w:tr>
                  <w:tr>
                    <w:trPr/>
                    <w:tc>
                      <w:tcPr>
                        <w:tcW w:w="1000" w:type="pct"/>
                        <w:tcBorders>
                          <w:top w:val="none" w:color="000000" w:sz="0"/>
                          <w:left w:val="none" w:color="000000" w:sz="0"/>
                          <w:bottom w:val="none" w:color="000000" w:sz="0"/>
                          <w:right w:val="none" w:color="000000" w:sz="0"/>
                        </w:tcBorders>
                        <w:tcMar/>
                        <w:vAlign w:val="top"/>
                      </w:tcPr>
                      <w:p>
                        <w:r>
                          <w:t xml:space="preserve">3.3.1 </w:t>
                        </w:r>
                      </w:p>
                    </w:tc>
                    <w:tc>
                      <w:tcPr>
                        <w:tcBorders>
                          <w:top w:val="none" w:color="000000" w:sz="0"/>
                          <w:left w:val="none" w:color="000000" w:sz="0"/>
                          <w:bottom w:val="none" w:color="000000" w:sz="0"/>
                          <w:right w:val="none" w:color="000000" w:sz="0"/>
                        </w:tcBorders>
                        <w:tcMar/>
                        <w:vAlign w:val="top"/>
                      </w:tcPr>
                      <w:p>
                        <w:r>
                          <w:t xml:space="preserve">Family Tax Benefit (Parts A and B)</w:t>
                        </w:r>
                      </w:p>
                    </w:tc>
                  </w:tr>
                  <w:tr>
                    <w:trPr/>
                    <w:tc>
                      <w:tcPr>
                        <w:tcW w:w="1000" w:type="pct"/>
                        <w:tcBorders>
                          <w:top w:val="none" w:color="000000" w:sz="0"/>
                          <w:left w:val="none" w:color="000000" w:sz="0"/>
                          <w:bottom w:val="none" w:color="000000" w:sz="0"/>
                          <w:right w:val="none" w:color="000000" w:sz="0"/>
                        </w:tcBorders>
                        <w:tcMar/>
                        <w:vAlign w:val="top"/>
                      </w:tcPr>
                      <w:p>
                        <w:r>
                          <w:t xml:space="preserve">3.3.2.1 </w:t>
                        </w:r>
                      </w:p>
                    </w:tc>
                    <w:tc>
                      <w:tcPr>
                        <w:tcBorders>
                          <w:top w:val="none" w:color="000000" w:sz="0"/>
                          <w:left w:val="none" w:color="000000" w:sz="0"/>
                          <w:bottom w:val="none" w:color="000000" w:sz="0"/>
                          <w:right w:val="none" w:color="000000" w:sz="0"/>
                        </w:tcBorders>
                        <w:tcMar/>
                        <w:vAlign w:val="top"/>
                      </w:tcPr>
                      <w:p>
                        <w:r>
                          <w:t xml:space="preserve">Parenting Payment - partnered</w:t>
                        </w:r>
                      </w:p>
                    </w:tc>
                  </w:tr>
                  <w:tr>
                    <w:trPr/>
                    <w:tc>
                      <w:tcPr>
                        <w:tcW w:w="1000" w:type="pct"/>
                        <w:tcBorders>
                          <w:top w:val="none" w:color="000000" w:sz="0"/>
                          <w:left w:val="none" w:color="000000" w:sz="0"/>
                          <w:bottom w:val="none" w:color="000000" w:sz="0"/>
                          <w:right w:val="none" w:color="000000" w:sz="0"/>
                        </w:tcBorders>
                        <w:tcMar/>
                        <w:vAlign w:val="top"/>
                      </w:tcPr>
                      <w:p>
                        <w:r>
                          <w:t xml:space="preserve">3.3.2.2 </w:t>
                        </w:r>
                      </w:p>
                    </w:tc>
                    <w:tc>
                      <w:tcPr>
                        <w:tcBorders>
                          <w:top w:val="none" w:color="000000" w:sz="0"/>
                          <w:left w:val="none" w:color="000000" w:sz="0"/>
                          <w:bottom w:val="none" w:color="000000" w:sz="0"/>
                          <w:right w:val="none" w:color="000000" w:sz="0"/>
                        </w:tcBorders>
                        <w:tcMar/>
                        <w:vAlign w:val="top"/>
                      </w:tcPr>
                      <w:p>
                        <w:r>
                          <w:t xml:space="preserve">Parenting Payment - single</w:t>
                        </w:r>
                      </w:p>
                    </w:tc>
                  </w:tr>
                  <w:tr>
                    <w:trPr/>
                    <w:tc>
                      <w:tcPr>
                        <w:tcW w:w="1000" w:type="pct"/>
                        <w:tcBorders>
                          <w:top w:val="none" w:color="000000" w:sz="0"/>
                          <w:left w:val="none" w:color="000000" w:sz="0"/>
                          <w:bottom w:val="none" w:color="000000" w:sz="0"/>
                          <w:right w:val="none" w:color="000000" w:sz="0"/>
                        </w:tcBorders>
                        <w:tcMar/>
                        <w:vAlign w:val="top"/>
                      </w:tcPr>
                      <w:p>
                        <w:r>
                          <w:t xml:space="preserve">3.3.3 </w:t>
                        </w:r>
                      </w:p>
                    </w:tc>
                    <w:tc>
                      <w:tcPr>
                        <w:tcBorders>
                          <w:top w:val="none" w:color="000000" w:sz="0"/>
                          <w:left w:val="none" w:color="000000" w:sz="0"/>
                          <w:bottom w:val="none" w:color="000000" w:sz="0"/>
                          <w:right w:val="none" w:color="000000" w:sz="0"/>
                        </w:tcBorders>
                        <w:tcMar/>
                        <w:vAlign w:val="top"/>
                      </w:tcPr>
                      <w:p>
                        <w:r>
                          <w:t xml:space="preserve">Double Orphan Pension</w:t>
                        </w:r>
                      </w:p>
                    </w:tc>
                  </w:tr>
                  <w:tr>
                    <w:trPr/>
                    <w:tc>
                      <w:tcPr>
                        <w:tcW w:w="1000" w:type="pct"/>
                        <w:tcBorders>
                          <w:top w:val="none" w:color="000000" w:sz="0"/>
                          <w:left w:val="none" w:color="000000" w:sz="0"/>
                          <w:bottom w:val="none" w:color="000000" w:sz="0"/>
                          <w:right w:val="none" w:color="000000" w:sz="0"/>
                        </w:tcBorders>
                        <w:tcMar/>
                        <w:vAlign w:val="top"/>
                      </w:tcPr>
                      <w:p>
                        <w:r>
                          <w:t xml:space="preserve">3.3.4 </w:t>
                        </w:r>
                      </w:p>
                    </w:tc>
                    <w:tc>
                      <w:tcPr>
                        <w:tcBorders>
                          <w:top w:val="none" w:color="000000" w:sz="0"/>
                          <w:left w:val="none" w:color="000000" w:sz="0"/>
                          <w:bottom w:val="none" w:color="000000" w:sz="0"/>
                          <w:right w:val="none" w:color="000000" w:sz="0"/>
                        </w:tcBorders>
                        <w:tcMar/>
                        <w:vAlign w:val="top"/>
                      </w:tcPr>
                      <w:p>
                        <w:r>
                          <w:t xml:space="preserve">Wife Pension</w:t>
                        </w:r>
                      </w:p>
                    </w:tc>
                  </w:tr>
                  <w:tr>
                    <w:trPr/>
                    <w:tc>
                      <w:tcPr>
                        <w:tcW w:w="1000" w:type="pct"/>
                        <w:tcBorders>
                          <w:top w:val="none" w:color="000000" w:sz="0"/>
                          <w:left w:val="none" w:color="000000" w:sz="0"/>
                          <w:bottom w:val="none" w:color="000000" w:sz="0"/>
                          <w:right w:val="none" w:color="000000" w:sz="0"/>
                        </w:tcBorders>
                        <w:tcMar/>
                        <w:vAlign w:val="top"/>
                      </w:tcPr>
                      <w:p>
                        <w:r>
                          <w:t xml:space="preserve">3.3.5 </w:t>
                        </w:r>
                      </w:p>
                    </w:tc>
                    <w:tc>
                      <w:tcPr>
                        <w:tcBorders>
                          <w:top w:val="none" w:color="000000" w:sz="0"/>
                          <w:left w:val="none" w:color="000000" w:sz="0"/>
                          <w:bottom w:val="none" w:color="000000" w:sz="0"/>
                          <w:right w:val="none" w:color="000000" w:sz="0"/>
                        </w:tcBorders>
                        <w:tcMar/>
                        <w:vAlign w:val="top"/>
                      </w:tcPr>
                      <w:p>
                        <w:r>
                          <w:t xml:space="preserve">Widow B Pension</w:t>
                        </w:r>
                      </w:p>
                    </w:tc>
                  </w:tr>
                  <w:tr>
                    <w:trPr/>
                    <w:tc>
                      <w:tcPr>
                        <w:tcW w:w="1000" w:type="pct"/>
                        <w:tcBorders>
                          <w:top w:val="none" w:color="000000" w:sz="0"/>
                          <w:left w:val="none" w:color="000000" w:sz="0"/>
                          <w:bottom w:val="none" w:color="000000" w:sz="0"/>
                          <w:right w:val="none" w:color="000000" w:sz="0"/>
                        </w:tcBorders>
                        <w:tcMar/>
                        <w:vAlign w:val="top"/>
                      </w:tcPr>
                      <w:p>
                        <w:r>
                          <w:t xml:space="preserve">3.3.6 </w:t>
                        </w:r>
                      </w:p>
                    </w:tc>
                    <w:tc>
                      <w:tcPr>
                        <w:tcBorders>
                          <w:top w:val="none" w:color="000000" w:sz="0"/>
                          <w:left w:val="none" w:color="000000" w:sz="0"/>
                          <w:bottom w:val="none" w:color="000000" w:sz="0"/>
                          <w:right w:val="none" w:color="000000" w:sz="0"/>
                        </w:tcBorders>
                        <w:tcMar/>
                        <w:vAlign w:val="top"/>
                      </w:tcPr>
                      <w:p>
                        <w:r>
                          <w:t xml:space="preserve">Bereavement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3.3.8 </w:t>
                        </w:r>
                      </w:p>
                    </w:tc>
                    <w:tc>
                      <w:tcPr>
                        <w:tcBorders>
                          <w:top w:val="none" w:color="000000" w:sz="0"/>
                          <w:left w:val="none" w:color="000000" w:sz="0"/>
                          <w:bottom w:val="none" w:color="000000" w:sz="0"/>
                          <w:right w:val="none" w:color="000000" w:sz="0"/>
                        </w:tcBorders>
                        <w:tcMar/>
                        <w:vAlign w:val="top"/>
                      </w:tcPr>
                      <w:p>
                        <w:r>
                          <w:t xml:space="preserve">Carer Payment</w:t>
                        </w:r>
                      </w:p>
                    </w:tc>
                  </w:tr>
                  <w:tr>
                    <w:trPr/>
                    <w:tc>
                      <w:tcPr>
                        <w:tcW w:w="1000" w:type="pct"/>
                        <w:tcBorders>
                          <w:top w:val="none" w:color="000000" w:sz="0"/>
                          <w:left w:val="none" w:color="000000" w:sz="0"/>
                          <w:bottom w:val="none" w:color="000000" w:sz="0"/>
                          <w:right w:val="none" w:color="000000" w:sz="0"/>
                        </w:tcBorders>
                        <w:tcMar/>
                        <w:vAlign w:val="top"/>
                      </w:tcPr>
                      <w:p>
                        <w:r>
                          <w:t xml:space="preserve">3.3.9 </w:t>
                        </w:r>
                      </w:p>
                    </w:tc>
                    <w:tc>
                      <w:tcPr>
                        <w:tcBorders>
                          <w:top w:val="none" w:color="000000" w:sz="0"/>
                          <w:left w:val="none" w:color="000000" w:sz="0"/>
                          <w:bottom w:val="none" w:color="000000" w:sz="0"/>
                          <w:right w:val="none" w:color="000000" w:sz="0"/>
                        </w:tcBorders>
                        <w:tcMar/>
                        <w:vAlign w:val="top"/>
                      </w:tcPr>
                      <w:p>
                        <w:r>
                          <w:t xml:space="preserve">Carer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3.3.10 </w:t>
                        </w:r>
                      </w:p>
                    </w:tc>
                    <w:tc>
                      <w:tcPr>
                        <w:tcBorders>
                          <w:top w:val="none" w:color="000000" w:sz="0"/>
                          <w:left w:val="none" w:color="000000" w:sz="0"/>
                          <w:bottom w:val="none" w:color="000000" w:sz="0"/>
                          <w:right w:val="none" w:color="000000" w:sz="0"/>
                        </w:tcBorders>
                        <w:tcMar/>
                        <w:vAlign w:val="top"/>
                      </w:tcPr>
                      <w:p>
                        <w:r>
                          <w:t xml:space="preserve">Carer Supplement</w:t>
                        </w:r>
                      </w:p>
                    </w:tc>
                  </w:tr>
                  <w:tr>
                    <w:trPr/>
                    <w:tc>
                      <w:tcPr>
                        <w:tcW w:w="1000" w:type="pct"/>
                        <w:tcBorders>
                          <w:top w:val="none" w:color="000000" w:sz="0"/>
                          <w:left w:val="none" w:color="000000" w:sz="0"/>
                          <w:bottom w:val="none" w:color="000000" w:sz="0"/>
                          <w:right w:val="none" w:color="000000" w:sz="0"/>
                        </w:tcBorders>
                        <w:tcMar/>
                        <w:vAlign w:val="top"/>
                      </w:tcPr>
                      <w:p>
                        <w:r>
                          <w:t xml:space="preserve">3.3.11 </w:t>
                        </w:r>
                      </w:p>
                    </w:tc>
                    <w:tc>
                      <w:tcPr>
                        <w:tcBorders>
                          <w:top w:val="none" w:color="000000" w:sz="0"/>
                          <w:left w:val="none" w:color="000000" w:sz="0"/>
                          <w:bottom w:val="none" w:color="000000" w:sz="0"/>
                          <w:right w:val="none" w:color="000000" w:sz="0"/>
                        </w:tcBorders>
                        <w:tcMar/>
                        <w:vAlign w:val="top"/>
                      </w:tcPr>
                      <w:p>
                        <w:r>
                          <w:t xml:space="preserve">Partner Allowance </w:t>
                        </w:r>
                      </w:p>
                    </w:tc>
                  </w:tr>
                  <w:tr>
                    <w:trPr/>
                    <w:tc>
                      <w:tcPr>
                        <w:tcW w:w="1000" w:type="pct"/>
                        <w:tcBorders>
                          <w:top w:val="none" w:color="000000" w:sz="0"/>
                          <w:left w:val="none" w:color="000000" w:sz="0"/>
                          <w:bottom w:val="none" w:color="000000" w:sz="0"/>
                          <w:right w:val="none" w:color="000000" w:sz="0"/>
                        </w:tcBorders>
                        <w:tcMar/>
                        <w:vAlign w:val="top"/>
                      </w:tcPr>
                      <w:p>
                        <w:r>
                          <w:t xml:space="preserve">3.3.12 </w:t>
                        </w:r>
                      </w:p>
                    </w:tc>
                    <w:tc>
                      <w:tcPr>
                        <w:tcBorders>
                          <w:top w:val="none" w:color="000000" w:sz="0"/>
                          <w:left w:val="none" w:color="000000" w:sz="0"/>
                          <w:bottom w:val="none" w:color="000000" w:sz="0"/>
                          <w:right w:val="none" w:color="000000" w:sz="0"/>
                        </w:tcBorders>
                        <w:tcMar/>
                        <w:vAlign w:val="top"/>
                      </w:tcPr>
                      <w:p>
                        <w:r>
                          <w:t xml:space="preserve">Widow Allowance</w:t>
                        </w:r>
                      </w:p>
                    </w:tc>
                  </w:tr>
                  <w:tr>
                    <w:trPr/>
                    <w:tc>
                      <w:tcPr>
                        <w:tcW w:w="1000" w:type="pct"/>
                        <w:tcBorders>
                          <w:top w:val="none" w:color="000000" w:sz="0"/>
                          <w:left w:val="none" w:color="000000" w:sz="0"/>
                          <w:bottom w:val="none" w:color="000000" w:sz="0"/>
                          <w:right w:val="none" w:color="000000" w:sz="0"/>
                        </w:tcBorders>
                        <w:tcMar/>
                        <w:vAlign w:val="top"/>
                      </w:tcPr>
                      <w:p>
                        <w:r>
                          <w:t xml:space="preserve">3.3.13 </w:t>
                        </w:r>
                      </w:p>
                    </w:tc>
                    <w:tc>
                      <w:tcPr>
                        <w:tcBorders>
                          <w:top w:val="none" w:color="000000" w:sz="0"/>
                          <w:left w:val="none" w:color="000000" w:sz="0"/>
                          <w:bottom w:val="none" w:color="000000" w:sz="0"/>
                          <w:right w:val="none" w:color="000000" w:sz="0"/>
                        </w:tcBorders>
                        <w:tcMar/>
                        <w:vAlign w:val="top"/>
                      </w:tcPr>
                      <w:p>
                        <w:r>
                          <w:t xml:space="preserve">CDEP Participant Supplement </w:t>
                        </w:r>
                      </w:p>
                    </w:tc>
                  </w:tr>
                  <w:tr>
                    <w:trPr/>
                    <w:tc>
                      <w:tcPr>
                        <w:tcW w:w="1000" w:type="pct"/>
                        <w:tcBorders>
                          <w:top w:val="none" w:color="000000" w:sz="0"/>
                          <w:left w:val="none" w:color="000000" w:sz="0"/>
                          <w:bottom w:val="none" w:color="000000" w:sz="0"/>
                          <w:right w:val="none" w:color="000000" w:sz="0"/>
                        </w:tcBorders>
                        <w:tcMar/>
                        <w:vAlign w:val="top"/>
                      </w:tcPr>
                      <w:p>
                        <w:r>
                          <w:t xml:space="preserve">3.3.14 </w:t>
                        </w:r>
                      </w:p>
                    </w:tc>
                    <w:tc>
                      <w:tcPr>
                        <w:tcBorders>
                          <w:top w:val="none" w:color="000000" w:sz="0"/>
                          <w:left w:val="none" w:color="000000" w:sz="0"/>
                          <w:bottom w:val="none" w:color="000000" w:sz="0"/>
                          <w:right w:val="none" w:color="000000" w:sz="0"/>
                        </w:tcBorders>
                        <w:tcMar/>
                        <w:vAlign w:val="top"/>
                      </w:tcPr>
                      <w:p>
                        <w:r>
                          <w:t xml:space="preserve">Special Benefit</w:t>
                        </w:r>
                      </w:p>
                    </w:tc>
                  </w:tr>
                  <w:tr>
                    <w:trPr/>
                    <w:tc>
                      <w:tcPr>
                        <w:tcW w:w="1000" w:type="pct"/>
                        <w:tcBorders>
                          <w:top w:val="none" w:color="000000" w:sz="0"/>
                          <w:left w:val="none" w:color="000000" w:sz="0"/>
                          <w:bottom w:val="none" w:color="000000" w:sz="0"/>
                          <w:right w:val="none" w:color="000000" w:sz="0"/>
                        </w:tcBorders>
                        <w:tcMar/>
                        <w:vAlign w:val="top"/>
                      </w:tcPr>
                      <w:p>
                        <w:r>
                          <w:t xml:space="preserve">3.3.15 </w:t>
                        </w:r>
                      </w:p>
                    </w:tc>
                    <w:tc>
                      <w:tcPr>
                        <w:tcBorders>
                          <w:top w:val="none" w:color="000000" w:sz="0"/>
                          <w:left w:val="none" w:color="000000" w:sz="0"/>
                          <w:bottom w:val="none" w:color="000000" w:sz="0"/>
                          <w:right w:val="none" w:color="000000" w:sz="0"/>
                        </w:tcBorders>
                        <w:tcMar/>
                        <w:vAlign w:val="top"/>
                      </w:tcPr>
                      <w:p>
                        <w:r>
                          <w:t xml:space="preserve">Service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3.3.16 </w:t>
                        </w:r>
                      </w:p>
                    </w:tc>
                    <w:tc>
                      <w:tcPr>
                        <w:tcBorders>
                          <w:top w:val="none" w:color="000000" w:sz="0"/>
                          <w:left w:val="none" w:color="000000" w:sz="0"/>
                          <w:bottom w:val="none" w:color="000000" w:sz="0"/>
                          <w:right w:val="none" w:color="000000" w:sz="0"/>
                        </w:tcBorders>
                        <w:tcMar/>
                        <w:vAlign w:val="top"/>
                      </w:tcPr>
                      <w:p>
                        <w:r>
                          <w:t xml:space="preserve">Disability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3.3.17 </w:t>
                        </w:r>
                      </w:p>
                    </w:tc>
                    <w:tc>
                      <w:tcPr>
                        <w:tcBorders>
                          <w:top w:val="none" w:color="000000" w:sz="0"/>
                          <w:left w:val="none" w:color="000000" w:sz="0"/>
                          <w:bottom w:val="none" w:color="000000" w:sz="0"/>
                          <w:right w:val="none" w:color="000000" w:sz="0"/>
                        </w:tcBorders>
                        <w:tcMar/>
                        <w:vAlign w:val="top"/>
                      </w:tcPr>
                      <w:p>
                        <w:r>
                          <w:t xml:space="preserve">War widow's pension (DVA)</w:t>
                        </w:r>
                      </w:p>
                    </w:tc>
                  </w:tr>
                  <w:tr>
                    <w:trPr/>
                    <w:tc>
                      <w:tcPr>
                        <w:tcW w:w="1000" w:type="pct"/>
                        <w:tcBorders>
                          <w:top w:val="none" w:color="000000" w:sz="0"/>
                          <w:left w:val="none" w:color="000000" w:sz="0"/>
                          <w:bottom w:val="none" w:color="000000" w:sz="0"/>
                          <w:right w:val="none" w:color="000000" w:sz="0"/>
                        </w:tcBorders>
                        <w:tcMar/>
                        <w:vAlign w:val="top"/>
                      </w:tcPr>
                      <w:p>
                        <w:r>
                          <w:t xml:space="preserve">3.3.18 </w:t>
                        </w:r>
                      </w:p>
                    </w:tc>
                    <w:tc>
                      <w:tcPr>
                        <w:tcBorders>
                          <w:top w:val="none" w:color="000000" w:sz="0"/>
                          <w:left w:val="none" w:color="000000" w:sz="0"/>
                          <w:bottom w:val="none" w:color="000000" w:sz="0"/>
                          <w:right w:val="none" w:color="000000" w:sz="0"/>
                        </w:tcBorders>
                        <w:tcMar/>
                        <w:vAlign w:val="top"/>
                      </w:tcPr>
                      <w:p>
                        <w:r>
                          <w:t xml:space="preserve">Pensions and allowances from overseas governments</w:t>
                        </w:r>
                      </w:p>
                    </w:tc>
                  </w:tr>
                  <w:tr>
                    <w:trPr/>
                    <w:tc>
                      <w:tcPr>
                        <w:tcW w:w="1000" w:type="pct"/>
                        <w:tcBorders>
                          <w:top w:val="none" w:color="000000" w:sz="0"/>
                          <w:left w:val="none" w:color="000000" w:sz="0"/>
                          <w:bottom w:val="none" w:color="000000" w:sz="0"/>
                          <w:right w:val="none" w:color="000000" w:sz="0"/>
                        </w:tcBorders>
                        <w:tcMar/>
                        <w:vAlign w:val="top"/>
                      </w:tcPr>
                      <w:p>
                        <w:r>
                          <w:t xml:space="preserve">3.3.19 </w:t>
                        </w:r>
                      </w:p>
                    </w:tc>
                    <w:tc>
                      <w:tcPr>
                        <w:tcBorders>
                          <w:top w:val="none" w:color="000000" w:sz="0"/>
                          <w:left w:val="none" w:color="000000" w:sz="0"/>
                          <w:bottom w:val="none" w:color="000000" w:sz="0"/>
                          <w:right w:val="none" w:color="000000" w:sz="0"/>
                        </w:tcBorders>
                        <w:tcMar/>
                        <w:vAlign w:val="top"/>
                      </w:tcPr>
                      <w:p>
                        <w:r>
                          <w:t xml:space="preserve">Other government cash pensions and allowances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Other cash income (e.g. superannuation, compensation)</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Nil Income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7a1843c74fb5482e">
                    <w:r>
                      <w:rPr>
                        <w:rStyle w:val="Hyperlink"/>
                      </w:rPr>
                      <w:t xml:space="preserve">Waitlist (housing assistance) cluster</w:t>
                    </w:r>
                  </w:hyperlink>
                </w:p>
              </w:tc>
              <w:tc>
                <w:tcPr>
                  <w:vAlign w:val="top"/>
                </w:tcPr>
                <w:p>
                  <w:r>
                    <w:t xml:space="preserve">459131</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w:t>
                  </w:r>
                </w:p>
              </w:tc>
              <w:tc>
                <w:tcPr>
                  <w:tcMar>
                    <w:left w:w="225" w:type="dxa"/>
                  </w:tcMar>
                  <w:vAlign w:val="top"/>
                </w:tcPr>
                <w:p>
                  <w:hyperlink w:history="true" r:id="R7c53d97232dd4f22">
                    <w:r>
                      <w:rPr>
                        <w:rStyle w:val="Hyperlink"/>
                      </w:rPr>
                      <w:t xml:space="preserve">Housing program type (public housing/SOMIH)</w:t>
                    </w:r>
                  </w:hyperlink>
                </w:p>
              </w:tc>
              <w:tc>
                <w:tcPr>
                  <w:vAlign w:val="top"/>
                </w:tcPr>
                <w:p>
                  <w:r>
                    <w:t xml:space="preserve">459031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Public rental housing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State owned and managed Indigenous housing</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3b5a3111ffdd4b3d">
                    <w:r>
                      <w:rPr>
                        <w:rStyle w:val="Hyperlink"/>
                      </w:rPr>
                      <w:t xml:space="preserve">Waitlist application indicator</w:t>
                    </w:r>
                  </w:hyperlink>
                </w:p>
              </w:tc>
              <w:tc>
                <w:tcPr>
                  <w:vAlign w:val="top"/>
                </w:tcPr>
                <w:p>
                  <w:r>
                    <w:t xml:space="preserve">444367</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f48ee25df60c4d17">
                    <w:r>
                      <w:rPr>
                        <w:rStyle w:val="Hyperlink"/>
                      </w:rPr>
                      <w:t xml:space="preserve">Application date (household)</w:t>
                    </w:r>
                  </w:hyperlink>
                </w:p>
              </w:tc>
              <w:tc>
                <w:tcPr>
                  <w:vAlign w:val="top"/>
                </w:tcPr>
                <w:p>
                  <w:r>
                    <w:t xml:space="preserve">472571</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4d4e3851208b4449">
                    <w:r>
                      <w:rPr>
                        <w:rStyle w:val="Hyperlink"/>
                      </w:rPr>
                      <w:t xml:space="preserve">Housing assistance application type </w:t>
                    </w:r>
                  </w:hyperlink>
                </w:p>
              </w:tc>
              <w:tc>
                <w:tcPr>
                  <w:vAlign w:val="top"/>
                </w:tcPr>
                <w:p>
                  <w:r>
                    <w:t xml:space="preserve">463944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Transfer application</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b2af9e5657ce45a3">
                    <w:r>
                      <w:rPr>
                        <w:rStyle w:val="Hyperlink"/>
                      </w:rPr>
                      <w:t xml:space="preserve">Household Australian State/Territory identifier</w:t>
                    </w:r>
                  </w:hyperlink>
                </w:p>
              </w:tc>
              <w:tc>
                <w:tcPr>
                  <w:vAlign w:val="top"/>
                </w:tcPr>
                <w:p>
                  <w:r>
                    <w:t xml:space="preserve">385981</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New South Wales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Victoria</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Queensland</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South Australia</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Western Australia</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Tasmania</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Northern Territory</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Australian Capital Territory</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Other territories (Cocos (Keeling) Islands, Christmas Island and Jervis Bay Territory)</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794e79b55d1f444e">
                    <w:r>
                      <w:rPr>
                        <w:rStyle w:val="Hyperlink"/>
                      </w:rPr>
                      <w:t xml:space="preserve">Greatest need date</w:t>
                    </w:r>
                  </w:hyperlink>
                </w:p>
              </w:tc>
              <w:tc>
                <w:tcPr>
                  <w:vAlign w:val="top"/>
                </w:tcPr>
                <w:p>
                  <w:r>
                    <w:t xml:space="preserve">388447</w:t>
                  </w:r>
                </w:p>
              </w:tc>
              <w:tc>
                <w:tcPr>
                  <w:vAlign w:val="top"/>
                </w:tcPr>
                <w:p>
                  <w:r>
                    <w:t xml:space="preserve">Date/Time
[8]</w:t>
                  </w:r>
                </w:p>
              </w:tc>
              <w:tc>
                <w:tcPr>
                  <w:vAlign w:val="top"/>
                </w:tcPr>
                <w:p>
                  <w:r>
                    <w:t xml:space="preserve">DDMMYYYY</w:t>
                  </w:r>
                  <w:r>
                    <w:br/>
                  </w:r>
                </w:p>
                <w:p>
                  <w:r>
                    <w:t xml:space="preserve">The day of a particular month and year. </w:t>
                  </w:r>
                </w:p>
              </w:tc>
            </w:tr>
            <w:tr>
              <w:trPr/>
              <w:tc>
                <w:tcPr>
                  <w:tcMar>
                    <w:right w:w="29" w:type="dxa"/>
                  </w:tcMar>
                  <w:vAlign w:val="top"/>
                </w:tcPr>
                <w:p>
                  <w:pPr>
                    <w:keepNext/>
                    <w:jc w:val="center"/>
                  </w:pPr>
                  <w:r>
                    <w:t xml:space="preserve">      -</w:t>
                  </w:r>
                </w:p>
              </w:tc>
              <w:tc>
                <w:tcPr>
                  <w:tcMar>
                    <w:left w:w="225" w:type="dxa"/>
                  </w:tcMar>
                  <w:vAlign w:val="top"/>
                </w:tcPr>
                <w:p>
                  <w:hyperlink w:history="true" r:id="R6f4ce07bbdab437f">
                    <w:r>
                      <w:rPr>
                        <w:rStyle w:val="Hyperlink"/>
                      </w:rPr>
                      <w:t xml:space="preserve">Greatest need indicator</w:t>
                    </w:r>
                  </w:hyperlink>
                </w:p>
              </w:tc>
              <w:tc>
                <w:tcPr>
                  <w:vAlign w:val="top"/>
                </w:tcPr>
                <w:p>
                  <w:r>
                    <w:t xml:space="preserve">456559</w:t>
                  </w:r>
                </w:p>
              </w:tc>
              <w:tc>
                <w:tcPr>
                  <w:vAlign w:val="top"/>
                </w:tcPr>
                <w:p>
                  <w:r>
                    <w:t xml:space="preserve">Boolean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86257ebeee75410b">
                    <w:r>
                      <w:rPr>
                        <w:rStyle w:val="Hyperlink"/>
                      </w:rPr>
                      <w:t xml:space="preserve">Greatest need reason</w:t>
                    </w:r>
                  </w:hyperlink>
                </w:p>
              </w:tc>
              <w:tc>
                <w:tcPr>
                  <w:vAlign w:val="top"/>
                </w:tcPr>
                <w:p>
                  <w:r>
                    <w:t xml:space="preserve">462210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Homeless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Life or safety at risk in accommodation</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Health condition aggravated by housing</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Housing inappropriate to needs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Very high housing costs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w:t>
                  </w:r>
                </w:p>
              </w:tc>
              <w:tc>
                <w:tcPr>
                  <w:tcMar>
                    <w:left w:w="225" w:type="dxa"/>
                  </w:tcMar>
                  <w:vAlign w:val="top"/>
                </w:tcPr>
                <w:p>
                  <w:hyperlink w:history="true" r:id="R662162f98fc04ee9">
                    <w:r>
                      <w:rPr>
                        <w:rStyle w:val="Hyperlink"/>
                      </w:rPr>
                      <w:t xml:space="preserve">Waitlist identifier</w:t>
                    </w:r>
                  </w:hyperlink>
                </w:p>
              </w:tc>
              <w:tc>
                <w:tcPr>
                  <w:vAlign w:val="top"/>
                </w:tcPr>
                <w:p>
                  <w:r>
                    <w:t xml:space="preserve">302685</w:t>
                  </w:r>
                </w:p>
              </w:tc>
              <w:tc>
                <w:tcPr>
                  <w:vAlign w:val="top"/>
                </w:tcPr>
                <w:p>
                  <w:r>
                    <w:t xml:space="preserve">String
[15]</w:t>
                  </w:r>
                </w:p>
              </w:tc>
              <w:tc>
                <w:tcPr>
                  <w:vAlign w:val="top"/>
                </w:tcPr>
                <w:p>
                  <w:r>
                    <w:t xml:space="preserve">X[X(14)]</w:t>
                  </w:r>
                  <w:r>
                    <w:br/>
                  </w:r>
                  <w:r>
                    <w:t xml:space="preserve">A logical combination of alphanumeric characters that identify an entity.</w:t>
                  </w:r>
                </w:p>
              </w:tc>
            </w:tr>
          </w:tbl>
          <w:p/>
        </w:tc>
      </w:tr>
    </w:tbl>
    <w:p>
      <w:r>
        <w:br/>
      </w:r>
    </w:p>
    <w:sectPr>
      <w:footerReference xmlns:r="http://schemas.openxmlformats.org/officeDocument/2006/relationships" w:type="default" r:id="Raa1bf1caf8174e68"/>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480520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2b0b3a68a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1bf1caf8174e68" /><Relationship Type="http://schemas.openxmlformats.org/officeDocument/2006/relationships/header" Target="/word/header1.xml" Id="Rd3a4f45cc5db4cda" /><Relationship Type="http://schemas.openxmlformats.org/officeDocument/2006/relationships/settings" Target="/word/settings.xml" Id="Rada6617dcb1a4e59" /><Relationship Type="http://schemas.openxmlformats.org/officeDocument/2006/relationships/styles" Target="/word/styles.xml" Id="R0297a9402c3748ce" /><Relationship Type="http://schemas.openxmlformats.org/officeDocument/2006/relationships/hyperlink" Target="https://meteor.aihw.gov.au/content/459147" TargetMode="External" Id="Reeecb83494664cca" /><Relationship Type="http://schemas.openxmlformats.org/officeDocument/2006/relationships/hyperlink" Target="https://meteor.aihw.gov.au/content/429894" TargetMode="External" Id="R6019d94013084f0c" /><Relationship Type="http://schemas.openxmlformats.org/officeDocument/2006/relationships/hyperlink" Target="https://meteor.aihw.gov.au/content/302044" TargetMode="External" Id="R604b7fe1ca85488b" /><Relationship Type="http://schemas.openxmlformats.org/officeDocument/2006/relationships/hyperlink" Target="https://meteor.aihw.gov.au/content/302656" TargetMode="External" Id="R7db23bb98d764382" /><Relationship Type="http://schemas.openxmlformats.org/officeDocument/2006/relationships/hyperlink" Target="https://meteor.aihw.gov.au/content/459031" TargetMode="External" Id="R771a2e969baf4bc6" /><Relationship Type="http://schemas.openxmlformats.org/officeDocument/2006/relationships/hyperlink" Target="https://meteor.aihw.gov.au/content/459053" TargetMode="External" Id="Rf33276c17b55411d" /><Relationship Type="http://schemas.openxmlformats.org/officeDocument/2006/relationships/hyperlink" Target="https://meteor.aihw.gov.au/content/479778" TargetMode="External" Id="R444c26b4bd314ec4" /><Relationship Type="http://schemas.openxmlformats.org/officeDocument/2006/relationships/hyperlink" Target="https://meteor.aihw.gov.au/content/302863" TargetMode="External" Id="Rf9793d4c9aff4ff3" /><Relationship Type="http://schemas.openxmlformats.org/officeDocument/2006/relationships/hyperlink" Target="https://meteor.aihw.gov.au/content/270125" TargetMode="External" Id="R1e721f2c7d484999" /><Relationship Type="http://schemas.openxmlformats.org/officeDocument/2006/relationships/hyperlink" Target="https://meteor.aihw.gov.au/content/302930" TargetMode="External" Id="R7765105ce9ed4ad5" /><Relationship Type="http://schemas.openxmlformats.org/officeDocument/2006/relationships/hyperlink" Target="https://meteor.aihw.gov.au/content/444432" TargetMode="External" Id="Rfef9162752674795" /><Relationship Type="http://schemas.openxmlformats.org/officeDocument/2006/relationships/hyperlink" Target="https://meteor.aihw.gov.au/content/478915" TargetMode="External" Id="R893d749dcdf84776" /><Relationship Type="http://schemas.openxmlformats.org/officeDocument/2006/relationships/hyperlink" Target="https://meteor.aihw.gov.au/content/302044" TargetMode="External" Id="R10dd0f9accd64dab" /><Relationship Type="http://schemas.openxmlformats.org/officeDocument/2006/relationships/hyperlink" Target="https://meteor.aihw.gov.au/content/302656" TargetMode="External" Id="R6a66c752b080425e" /><Relationship Type="http://schemas.openxmlformats.org/officeDocument/2006/relationships/hyperlink" Target="https://meteor.aihw.gov.au/content/459031" TargetMode="External" Id="Re1392b8fc1cc4f10" /><Relationship Type="http://schemas.openxmlformats.org/officeDocument/2006/relationships/hyperlink" Target="https://meteor.aihw.gov.au/content/459071" TargetMode="External" Id="R24499c96011b4842" /><Relationship Type="http://schemas.openxmlformats.org/officeDocument/2006/relationships/hyperlink" Target="https://meteor.aihw.gov.au/content/474746" TargetMode="External" Id="Re7c15b2ac401416e" /><Relationship Type="http://schemas.openxmlformats.org/officeDocument/2006/relationships/hyperlink" Target="https://meteor.aihw.gov.au/content/478921" TargetMode="External" Id="R0abde1c701ac46e0" /><Relationship Type="http://schemas.openxmlformats.org/officeDocument/2006/relationships/hyperlink" Target="https://meteor.aihw.gov.au/content/473940" TargetMode="External" Id="Rf0f1d40daf3f41fc" /><Relationship Type="http://schemas.openxmlformats.org/officeDocument/2006/relationships/hyperlink" Target="https://meteor.aihw.gov.au/content/459886" TargetMode="External" Id="R5b4c98982b16441c" /><Relationship Type="http://schemas.openxmlformats.org/officeDocument/2006/relationships/hyperlink" Target="https://meteor.aihw.gov.au/content/302656" TargetMode="External" Id="R256e0e40249f43b4" /><Relationship Type="http://schemas.openxmlformats.org/officeDocument/2006/relationships/hyperlink" Target="https://meteor.aihw.gov.au/content/459031" TargetMode="External" Id="R749ee936e7394411" /><Relationship Type="http://schemas.openxmlformats.org/officeDocument/2006/relationships/hyperlink" Target="https://meteor.aihw.gov.au/content/479783" TargetMode="External" Id="Rf08044c433564fba" /><Relationship Type="http://schemas.openxmlformats.org/officeDocument/2006/relationships/hyperlink" Target="https://meteor.aihw.gov.au/content/444432" TargetMode="External" Id="R9bba7d006a954901" /><Relationship Type="http://schemas.openxmlformats.org/officeDocument/2006/relationships/hyperlink" Target="https://meteor.aihw.gov.au/content/472571" TargetMode="External" Id="R3d76c4bca8a84b77" /><Relationship Type="http://schemas.openxmlformats.org/officeDocument/2006/relationships/hyperlink" Target="https://meteor.aihw.gov.au/content/462194" TargetMode="External" Id="R151be537d1e745f8" /><Relationship Type="http://schemas.openxmlformats.org/officeDocument/2006/relationships/hyperlink" Target="https://meteor.aihw.gov.au/content/385981" TargetMode="External" Id="R319d5c415bba4ed2" /><Relationship Type="http://schemas.openxmlformats.org/officeDocument/2006/relationships/hyperlink" Target="https://meteor.aihw.gov.au/content/302949" TargetMode="External" Id="R186f49d0e131414a" /><Relationship Type="http://schemas.openxmlformats.org/officeDocument/2006/relationships/hyperlink" Target="https://meteor.aihw.gov.au/content/388447" TargetMode="External" Id="R80a39461c0954470" /><Relationship Type="http://schemas.openxmlformats.org/officeDocument/2006/relationships/hyperlink" Target="https://meteor.aihw.gov.au/content/456559" TargetMode="External" Id="R4081dca0f0cd4561" /><Relationship Type="http://schemas.openxmlformats.org/officeDocument/2006/relationships/hyperlink" Target="https://meteor.aihw.gov.au/content/462210" TargetMode="External" Id="R90bbe8f732364354" /><Relationship Type="http://schemas.openxmlformats.org/officeDocument/2006/relationships/hyperlink" Target="https://meteor.aihw.gov.au/content/452645" TargetMode="External" Id="Rfa66439564f14099" /><Relationship Type="http://schemas.openxmlformats.org/officeDocument/2006/relationships/hyperlink" Target="https://meteor.aihw.gov.au/content/302662" TargetMode="External" Id="R82d66531180342b9" /><Relationship Type="http://schemas.openxmlformats.org/officeDocument/2006/relationships/hyperlink" Target="https://meteor.aihw.gov.au/content/460738" TargetMode="External" Id="Rb7ea895343c748c0" /><Relationship Type="http://schemas.openxmlformats.org/officeDocument/2006/relationships/hyperlink" Target="https://meteor.aihw.gov.au/content/301783" TargetMode="External" Id="Rb56813ef69ab41a1" /><Relationship Type="http://schemas.openxmlformats.org/officeDocument/2006/relationships/hyperlink" Target="https://meteor.aihw.gov.au/content/302581" TargetMode="External" Id="R0f1c8c490a44494e" /><Relationship Type="http://schemas.openxmlformats.org/officeDocument/2006/relationships/hyperlink" Target="https://meteor.aihw.gov.au/content/302600" TargetMode="External" Id="Rf55671b0895047a3" /><Relationship Type="http://schemas.openxmlformats.org/officeDocument/2006/relationships/hyperlink" Target="https://meteor.aihw.gov.au/content/301987" TargetMode="External" Id="Rdfffd8fbd6764a34" /><Relationship Type="http://schemas.openxmlformats.org/officeDocument/2006/relationships/hyperlink" Target="https://meteor.aihw.gov.au/content/461250" TargetMode="External" Id="R9052a3de48154397" /><Relationship Type="http://schemas.openxmlformats.org/officeDocument/2006/relationships/hyperlink" Target="https://meteor.aihw.gov.au/content/498318" TargetMode="External" Id="R66caea88bac44cbe" /><Relationship Type="http://schemas.openxmlformats.org/officeDocument/2006/relationships/hyperlink" Target="https://meteor.aihw.gov.au/content/474692" TargetMode="External" Id="Rb19d5da522bc4f03" /><Relationship Type="http://schemas.openxmlformats.org/officeDocument/2006/relationships/hyperlink" Target="https://meteor.aihw.gov.au/content/302685" TargetMode="External" Id="R91a78f6697384694" /><Relationship Type="http://schemas.openxmlformats.org/officeDocument/2006/relationships/hyperlink" Target="https://meteor.aihw.gov.au/content/459133" TargetMode="External" Id="Rec41ab757b89450e" /><Relationship Type="http://schemas.openxmlformats.org/officeDocument/2006/relationships/hyperlink" Target="https://meteor.aihw.gov.au/content/459031" TargetMode="External" Id="Rc37963eb6e61461d" /><Relationship Type="http://schemas.openxmlformats.org/officeDocument/2006/relationships/hyperlink" Target="https://meteor.aihw.gov.au/content/302662" TargetMode="External" Id="R2b9ad69fd67d4019" /><Relationship Type="http://schemas.openxmlformats.org/officeDocument/2006/relationships/hyperlink" Target="https://meteor.aihw.gov.au/content/302669" TargetMode="External" Id="Rc1908ee255c6441a" /><Relationship Type="http://schemas.openxmlformats.org/officeDocument/2006/relationships/hyperlink" Target="https://meteor.aihw.gov.au/content/301840" TargetMode="External" Id="R5b49358f82864482" /><Relationship Type="http://schemas.openxmlformats.org/officeDocument/2006/relationships/hyperlink" Target="https://meteor.aihw.gov.au/content/286919" TargetMode="External" Id="R3ef1cc37a8694501" /><Relationship Type="http://schemas.openxmlformats.org/officeDocument/2006/relationships/hyperlink" Target="https://meteor.aihw.gov.au/content/287007" TargetMode="External" Id="Re56ed7c5d87f47ae" /><Relationship Type="http://schemas.openxmlformats.org/officeDocument/2006/relationships/hyperlink" Target="https://meteor.aihw.gov.au/content/312934" TargetMode="External" Id="R518b89682d1645b1" /><Relationship Type="http://schemas.openxmlformats.org/officeDocument/2006/relationships/hyperlink" Target="https://meteor.aihw.gov.au/content/456321" TargetMode="External" Id="Rb4c5eaaac3894043" /><Relationship Type="http://schemas.openxmlformats.org/officeDocument/2006/relationships/hyperlink" Target="https://meteor.aihw.gov.au/content/291036" TargetMode="External" Id="R75236b7836d246c2" /><Relationship Type="http://schemas.openxmlformats.org/officeDocument/2006/relationships/hyperlink" Target="https://meteor.aihw.gov.au/content/302678" TargetMode="External" Id="R55b446c47ead4397" /><Relationship Type="http://schemas.openxmlformats.org/officeDocument/2006/relationships/hyperlink" Target="https://meteor.aihw.gov.au/content/270248" TargetMode="External" Id="R67b1a3179f2f41ab" /><Relationship Type="http://schemas.openxmlformats.org/officeDocument/2006/relationships/hyperlink" Target="https://meteor.aihw.gov.au/content/287316" TargetMode="External" Id="Re351cdf314a84944" /><Relationship Type="http://schemas.openxmlformats.org/officeDocument/2006/relationships/hyperlink" Target="https://meteor.aihw.gov.au/content/478940" TargetMode="External" Id="R683d1033757f4e5b" /><Relationship Type="http://schemas.openxmlformats.org/officeDocument/2006/relationships/hyperlink" Target="https://meteor.aihw.gov.au/content/459031" TargetMode="External" Id="R19569b47ac2f4069" /><Relationship Type="http://schemas.openxmlformats.org/officeDocument/2006/relationships/hyperlink" Target="https://meteor.aihw.gov.au/content/302662" TargetMode="External" Id="Redce3fce244b4fda" /><Relationship Type="http://schemas.openxmlformats.org/officeDocument/2006/relationships/hyperlink" Target="https://meteor.aihw.gov.au/content/302669" TargetMode="External" Id="Rd68e193c238e4a5d" /><Relationship Type="http://schemas.openxmlformats.org/officeDocument/2006/relationships/hyperlink" Target="https://meteor.aihw.gov.au/content/302218" TargetMode="External" Id="R42f61816c6cf4d6e" /><Relationship Type="http://schemas.openxmlformats.org/officeDocument/2006/relationships/hyperlink" Target="https://meteor.aihw.gov.au/content/286919" TargetMode="External" Id="Ra65d5e3d984d4d05" /><Relationship Type="http://schemas.openxmlformats.org/officeDocument/2006/relationships/hyperlink" Target="https://meteor.aihw.gov.au/content/302481" TargetMode="External" Id="Rc3f818614f8044bd" /><Relationship Type="http://schemas.openxmlformats.org/officeDocument/2006/relationships/hyperlink" Target="https://meteor.aihw.gov.au/content/302678" TargetMode="External" Id="R00bbebd9b0b24529" /><Relationship Type="http://schemas.openxmlformats.org/officeDocument/2006/relationships/hyperlink" Target="https://meteor.aihw.gov.au/content/479197" TargetMode="External" Id="R091bc501bbc84ee7" /><Relationship Type="http://schemas.openxmlformats.org/officeDocument/2006/relationships/hyperlink" Target="https://meteor.aihw.gov.au/content/513378" TargetMode="External" Id="R8cc6a88bb5b34767" /><Relationship Type="http://schemas.openxmlformats.org/officeDocument/2006/relationships/hyperlink" Target="https://meteor.aihw.gov.au/content/459131" TargetMode="External" Id="R7a1843c74fb5482e" /><Relationship Type="http://schemas.openxmlformats.org/officeDocument/2006/relationships/hyperlink" Target="https://meteor.aihw.gov.au/content/459031" TargetMode="External" Id="R7c53d97232dd4f22" /><Relationship Type="http://schemas.openxmlformats.org/officeDocument/2006/relationships/hyperlink" Target="https://meteor.aihw.gov.au/content/444367" TargetMode="External" Id="R3b5a3111ffdd4b3d" /><Relationship Type="http://schemas.openxmlformats.org/officeDocument/2006/relationships/hyperlink" Target="https://meteor.aihw.gov.au/content/472571" TargetMode="External" Id="Rf48ee25df60c4d17" /><Relationship Type="http://schemas.openxmlformats.org/officeDocument/2006/relationships/hyperlink" Target="https://meteor.aihw.gov.au/content/463944" TargetMode="External" Id="R4d4e3851208b4449" /><Relationship Type="http://schemas.openxmlformats.org/officeDocument/2006/relationships/hyperlink" Target="https://meteor.aihw.gov.au/content/385981" TargetMode="External" Id="Rb2af9e5657ce45a3" /><Relationship Type="http://schemas.openxmlformats.org/officeDocument/2006/relationships/hyperlink" Target="https://meteor.aihw.gov.au/content/388447" TargetMode="External" Id="R794e79b55d1f444e" /><Relationship Type="http://schemas.openxmlformats.org/officeDocument/2006/relationships/hyperlink" Target="https://meteor.aihw.gov.au/content/456559" TargetMode="External" Id="R6f4ce07bbdab437f" /><Relationship Type="http://schemas.openxmlformats.org/officeDocument/2006/relationships/hyperlink" Target="https://meteor.aihw.gov.au/content/462210" TargetMode="External" Id="R86257ebeee75410b" /><Relationship Type="http://schemas.openxmlformats.org/officeDocument/2006/relationships/hyperlink" Target="https://meteor.aihw.gov.au/content/302685" TargetMode="External" Id="R662162f98fc04ee9" /></Relationships>
</file>

<file path=word/_rels/header1.xml.rels>&#65279;<?xml version="1.0" encoding="utf-8"?><Relationships xmlns="http://schemas.openxmlformats.org/package/2006/relationships"><Relationship Type="http://schemas.openxmlformats.org/officeDocument/2006/relationships/image" Target="/media/image.png" Id="R0482b0b3a68a465d" /></Relationships>
</file>