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9f50d213304d61" /></Relationships>
</file>

<file path=word/document.xml><?xml version="1.0" encoding="utf-8"?>
<w:document xmlns:r="http://schemas.openxmlformats.org/officeDocument/2006/relationships" xmlns:w="http://schemas.openxmlformats.org/wordprocessingml/2006/main">
  <w:body>
    <w:p>
      <w:pPr>
        <w:pStyle w:val="Title"/>
      </w:pPr>
      <w:r>
        <w:t>Dwelling file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file cluster (Mainstream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2d9df4608e46f2">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file captures information about dwellings provided for low to moderate income or special needs households. These dwellings are managed by community-based organisations that have received capital or recurrent subsidy from government. Community housing models vary across jurisdictions, and the housing stock may be owned by a variety of groups including government.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43f292597431417a">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a4c6f65160f54a21">
              <w:r>
                <w:rPr>
                  <w:rStyle w:val="Hyperlink"/>
                  <w:b/>
                </w:rPr>
                <w:t xml:space="preserve">Tenancy rental unit</w:t>
              </w:r>
            </w:hyperlink>
            <w:r>
              <w:rPr>
                <w:rStyle w:val="row-content-rich-text"/>
              </w:rPr>
              <w:t xml:space="preserve"> and </w:t>
            </w:r>
          </w:p>
          <w:p>
            <w:hyperlink w:history="true" r:id="Re6ac6e8d9e5b47e2">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0e118bba95349b0">
              <w:r>
                <w:rPr>
                  <w:rStyle w:val="Hyperlink"/>
                </w:rPr>
                <w:t xml:space="preserve">Dwelling file cluster (Mainstream community housing)</w:t>
              </w:r>
            </w:hyperlink>
          </w:p>
          <w:p>
            <w:pPr>
              <w:spacing w:before="0" w:after="0"/>
            </w:pPr>
            <w:r>
              <w:rPr>
                <w:rStyle w:val="row-content"/>
                <w:color w:val="244061"/>
              </w:rPr>
              <w:t xml:space="preserve">       </w:t>
            </w:r>
            <w:hyperlink w:history="true" r:id="R6e26b02b557d4096">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6d6ea1666e403b">
              <w:r>
                <w:rPr>
                  <w:rStyle w:val="Hyperlink"/>
                </w:rPr>
                <w:t xml:space="preserve">Mainstream community housing 2009-10</w:t>
              </w:r>
            </w:hyperlink>
          </w:p>
          <w:p>
            <w:pPr>
              <w:spacing w:before="0" w:after="0"/>
            </w:pPr>
            <w:r>
              <w:rPr>
                <w:rStyle w:val="row-content"/>
                <w:color w:val="244061"/>
              </w:rPr>
              <w:t xml:space="preserve">       </w:t>
            </w:r>
            <w:hyperlink w:history="true" r:id="R2ee0b00426ce423b">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666127349043dc">
                    <w:r>
                      <w:rPr>
                        <w:rStyle w:val="Hyperlink"/>
                      </w:rPr>
                      <w:t xml:space="preserve">Dwelling—address line, text [X(180)]</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c0ada5fc6d461e">
                    <w:r>
                      <w:rPr>
                        <w:rStyle w:val="Hyperlink"/>
                      </w:rPr>
                      <w:t xml:space="preserve">Dwelling—Australian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3e8ed835be4ded">
                    <w:r>
                      <w:rPr>
                        <w:rStyle w:val="Hyperlink"/>
                      </w:rPr>
                      <w:t xml:space="preserve">Dwelling—Australian state/territory identifier, code N</w:t>
                    </w:r>
                  </w:hyperlink>
                </w:p>
                <w:p>
                  <w:r>
                    <w:rPr>
                      <w:b/>
                      <w:i/>
                      <w:color w:val="333333"/>
                    </w:rPr>
                    <w:t xml:space="preserve">DSS specific information:</w:t>
                  </w:r>
                </w:p>
                <w:p>
                  <w:r>
                    <w:t xml:space="preserve">In the Community Housing 2009-10 collection the dwelling state/territory identifer is recorded using the following abbreviations, as opposed to the full name used in this data element. The mapping table below indicates the relationship between the standard data element and the Community Housing collection's recorded values.</w:t>
                  </w:r>
                </w:p>
                <w:p>
                  <w:r>
                    <w:t xml:space="preserve"> </w:t>
                  </w:r>
                </w:p>
                <w:tbl>
                  <w:tblPr>
                    <w:tblStyle w:val="InnerTable"/>
                    <w:tblW w:w="0" w:type="auto"/>
                  </w:tblPr>
                  <w:tblGrid>
                    <w:gridCol/>
                    <w:gridCol/>
                    <w:gridCol/>
                  </w:tblGrid>
                  <w:tr>
                    <w:trPr/>
                    <w:tc>
                      <w:tcPr>
                        <w:vAlign w:val="top"/>
                      </w:tcPr>
                      <w:p>
                        <w:r>
                          <w:t xml:space="preserve"> </w:t>
                        </w:r>
                        <w:r>
                          <w:rPr>
                            <w:b/>
                          </w:rPr>
                          <w:t xml:space="preserve">METeOR Value</w:t>
                        </w:r>
                      </w:p>
                    </w:tc>
                    <w:tc>
                      <w:tcPr>
                        <w:vAlign w:val="top"/>
                      </w:tcPr>
                      <w:p>
                        <w:r>
                          <w:rPr>
                            <w:b/>
                          </w:rPr>
                          <w:t xml:space="preserve">METeor Label</w:t>
                        </w:r>
                      </w:p>
                    </w:tc>
                    <w:tc>
                      <w:tcPr>
                        <w:vAlign w:val="top"/>
                      </w:tcPr>
                      <w:p>
                        <w:r>
                          <w:rPr>
                            <w:b/>
                          </w:rPr>
                          <w:t xml:space="preserve">CHO Recorded Value</w:t>
                        </w:r>
                      </w:p>
                    </w:tc>
                  </w:tr>
                  <w:tr>
                    <w:trPr/>
                    <w:tc>
                      <w:tcPr>
                        <w:vAlign w:val="top"/>
                      </w:tcPr>
                      <w:p>
                        <w:r>
                          <w:t xml:space="preserve">1</w:t>
                        </w:r>
                      </w:p>
                    </w:tc>
                    <w:tc>
                      <w:tcPr>
                        <w:vAlign w:val="top"/>
                      </w:tcPr>
                      <w:p>
                        <w:r>
                          <w:t xml:space="preserve">New South Wales</w:t>
                        </w:r>
                      </w:p>
                    </w:tc>
                    <w:tc>
                      <w:tcPr>
                        <w:vAlign w:val="top"/>
                      </w:tcPr>
                      <w:p>
                        <w:r>
                          <w:t xml:space="preserve">NSW</w:t>
                        </w:r>
                      </w:p>
                    </w:tc>
                  </w:tr>
                  <w:tr>
                    <w:trPr/>
                    <w:tc>
                      <w:tcPr>
                        <w:vAlign w:val="top"/>
                      </w:tcPr>
                      <w:p>
                        <w:r>
                          <w:t xml:space="preserve">2</w:t>
                        </w:r>
                      </w:p>
                    </w:tc>
                    <w:tc>
                      <w:tcPr>
                        <w:vAlign w:val="top"/>
                      </w:tcPr>
                      <w:p>
                        <w:r>
                          <w:t xml:space="preserve">Victoria</w:t>
                        </w:r>
                      </w:p>
                    </w:tc>
                    <w:tc>
                      <w:tcPr>
                        <w:vAlign w:val="top"/>
                      </w:tcPr>
                      <w:p>
                        <w:r>
                          <w:t xml:space="preserve">Vic</w:t>
                        </w:r>
                      </w:p>
                    </w:tc>
                  </w:tr>
                  <w:tr>
                    <w:trPr/>
                    <w:tc>
                      <w:tcPr>
                        <w:vAlign w:val="top"/>
                      </w:tcPr>
                      <w:p>
                        <w:r>
                          <w:t xml:space="preserve">3</w:t>
                        </w:r>
                      </w:p>
                    </w:tc>
                    <w:tc>
                      <w:tcPr>
                        <w:vAlign w:val="top"/>
                      </w:tcPr>
                      <w:p>
                        <w:r>
                          <w:t xml:space="preserve">Queensland</w:t>
                        </w:r>
                      </w:p>
                    </w:tc>
                    <w:tc>
                      <w:tcPr>
                        <w:vAlign w:val="top"/>
                      </w:tcPr>
                      <w:p>
                        <w:r>
                          <w:t xml:space="preserve">Qld</w:t>
                        </w:r>
                      </w:p>
                    </w:tc>
                  </w:tr>
                  <w:tr>
                    <w:trPr/>
                    <w:tc>
                      <w:tcPr>
                        <w:vAlign w:val="top"/>
                      </w:tcPr>
                      <w:p>
                        <w:r>
                          <w:t xml:space="preserve">4</w:t>
                        </w:r>
                      </w:p>
                    </w:tc>
                    <w:tc>
                      <w:tcPr>
                        <w:vAlign w:val="top"/>
                      </w:tcPr>
                      <w:p>
                        <w:r>
                          <w:t xml:space="preserve">Western Australia</w:t>
                        </w:r>
                      </w:p>
                    </w:tc>
                    <w:tc>
                      <w:tcPr>
                        <w:vAlign w:val="top"/>
                      </w:tcPr>
                      <w:p>
                        <w:r>
                          <w:t xml:space="preserve">WA</w:t>
                        </w:r>
                      </w:p>
                    </w:tc>
                  </w:tr>
                  <w:tr>
                    <w:trPr/>
                    <w:tc>
                      <w:tcPr>
                        <w:vAlign w:val="top"/>
                      </w:tcPr>
                      <w:p>
                        <w:r>
                          <w:t xml:space="preserve">5</w:t>
                        </w:r>
                      </w:p>
                    </w:tc>
                    <w:tc>
                      <w:tcPr>
                        <w:vAlign w:val="top"/>
                      </w:tcPr>
                      <w:p>
                        <w:r>
                          <w:t xml:space="preserve">South Australia</w:t>
                        </w:r>
                      </w:p>
                    </w:tc>
                    <w:tc>
                      <w:tcPr>
                        <w:vAlign w:val="top"/>
                      </w:tcPr>
                      <w:p>
                        <w:r>
                          <w:t xml:space="preserve">SA</w:t>
                        </w:r>
                      </w:p>
                    </w:tc>
                  </w:tr>
                  <w:tr>
                    <w:trPr/>
                    <w:tc>
                      <w:tcPr>
                        <w:vAlign w:val="top"/>
                      </w:tcPr>
                      <w:p>
                        <w:r>
                          <w:t xml:space="preserve">6</w:t>
                        </w:r>
                      </w:p>
                    </w:tc>
                    <w:tc>
                      <w:tcPr>
                        <w:vAlign w:val="top"/>
                      </w:tcPr>
                      <w:p>
                        <w:r>
                          <w:t xml:space="preserve">Tasmania</w:t>
                        </w:r>
                      </w:p>
                    </w:tc>
                    <w:tc>
                      <w:tcPr>
                        <w:vAlign w:val="top"/>
                      </w:tcPr>
                      <w:p>
                        <w:r>
                          <w:t xml:space="preserve">Tas</w:t>
                        </w:r>
                      </w:p>
                    </w:tc>
                  </w:tr>
                  <w:tr>
                    <w:trPr/>
                    <w:tc>
                      <w:tcPr>
                        <w:vAlign w:val="top"/>
                      </w:tcPr>
                      <w:p>
                        <w:r>
                          <w:t xml:space="preserve">7</w:t>
                        </w:r>
                      </w:p>
                    </w:tc>
                    <w:tc>
                      <w:tcPr>
                        <w:vAlign w:val="top"/>
                      </w:tcPr>
                      <w:p>
                        <w:r>
                          <w:t xml:space="preserve">Australian Capital Territory</w:t>
                        </w:r>
                      </w:p>
                    </w:tc>
                    <w:tc>
                      <w:tcPr>
                        <w:vAlign w:val="top"/>
                      </w:tcPr>
                      <w:p>
                        <w:r>
                          <w:t xml:space="preserve">ACT</w:t>
                        </w:r>
                      </w:p>
                    </w:tc>
                  </w:tr>
                  <w:tr>
                    <w:trPr/>
                    <w:tc>
                      <w:tcPr>
                        <w:vAlign w:val="top"/>
                      </w:tcPr>
                      <w:p>
                        <w:r>
                          <w:t xml:space="preserve">8</w:t>
                        </w:r>
                      </w:p>
                    </w:tc>
                    <w:tc>
                      <w:tcPr>
                        <w:vAlign w:val="top"/>
                      </w:tcPr>
                      <w:p>
                        <w:r>
                          <w:t xml:space="preserve">Northern Territory</w:t>
                        </w:r>
                      </w:p>
                    </w:tc>
                    <w:tc>
                      <w:tcPr>
                        <w:vAlign w:val="top"/>
                      </w:tcPr>
                      <w:p>
                        <w:r>
                          <w:t xml:space="preserve">NT</w:t>
                        </w:r>
                      </w:p>
                    </w:tc>
                  </w:tr>
                  <w:tr>
                    <w:trPr/>
                    <w:tc>
                      <w:tcPr>
                        <w:vAlign w:val="top"/>
                      </w:tcPr>
                      <w:p>
                        <w:r>
                          <w:t xml:space="preserve">9</w:t>
                        </w:r>
                      </w:p>
                    </w:tc>
                    <w:tc>
                      <w:tcPr>
                        <w:vAlign w:val="top"/>
                      </w:tcPr>
                      <w:p>
                        <w:r>
                          <w:t xml:space="preserve">Other territories (Cocos (Keeling)</w:t>
                        </w:r>
                      </w:p>
                      <w:p>
                        <w:r>
                          <w:t xml:space="preserve">Islands, Christmas Island and Jervis</w:t>
                        </w:r>
                      </w:p>
                      <w:p>
                        <w:r>
                          <w:t xml:space="preserve">Bay Territory)</w:t>
                        </w:r>
                      </w:p>
                    </w:tc>
                    <w:tc>
                      <w:tcPr>
                        <w:vAlign w:val="top"/>
                      </w:tcPr>
                      <w:p>
                        <w:r>
                          <w:t xml:space="preserve">-</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81e7a3dca84c0f">
                    <w:r>
                      <w:rPr>
                        <w:rStyle w:val="Hyperlink"/>
                      </w:rPr>
                      <w:t xml:space="preserve">Dwelling—boarding house unit indicator, yes/no code N</w:t>
                    </w:r>
                  </w:hyperlink>
                </w:p>
                <w:p>
                  <w:r>
                    <w:rPr>
                      <w:b/>
                      <w:i/>
                      <w:color w:val="333333"/>
                    </w:rPr>
                    <w:t xml:space="preserve">Conditional obligation:</w:t>
                  </w:r>
                </w:p>
                <w:p>
                  <w:r>
                    <w:t xml:space="preserve">This is conditional upon 'other' being selected in the </w:t>
                  </w:r>
                </w:p>
                <w:p>
                  <w:hyperlink w:history="true" r:id="R77831db7575542c8">
                    <w:r>
                      <w:rPr>
                        <w:rStyle w:val="Hyperlink"/>
                      </w:rPr>
                      <w:t xml:space="preserve">Dwelling—structure type, code N[N] data</w:t>
                    </w:r>
                  </w:hyperlink>
                  <w:r>
                    <w:t xml:space="preserve"> element. It is not relevant to the rest of the codeset.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baa5a263094c7d">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d9f93a837841f1">
                    <w:r>
                      <w:rPr>
                        <w:rStyle w:val="Hyperlink"/>
                      </w:rPr>
                      <w:t xml:space="preserve">Dwelling—housing program type, community housing code N[N]</w:t>
                    </w:r>
                  </w:hyperlink>
                </w:p>
                <w:p>
                  <w:r>
                    <w:rPr>
                      <w:b/>
                      <w:i/>
                      <w:color w:val="333333"/>
                    </w:rPr>
                    <w:t xml:space="preserve">DSS specific information:</w:t>
                  </w:r>
                </w:p>
                <w:p>
                  <w:r>
                    <w:t xml:space="preserve">Code 88 'other' maps to code 9 'other', and code 99 'not stated/inadequately described' maps to code U 'unknown' in the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dc811c59cb47f6">
                    <w:r>
                      <w:rPr>
                        <w:rStyle w:val="Hyperlink"/>
                      </w:rPr>
                      <w:t xml:space="preserve">Dwelling—housing program type, community housing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faa004bf5f4b66">
                    <w:r>
                      <w:rPr>
                        <w:rStyle w:val="Hyperlink"/>
                      </w:rPr>
                      <w:t xml:space="preserve">Dwelling—number of bedrooms,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da6d58ad1c417b">
                    <w:r>
                      <w:rPr>
                        <w:rStyle w:val="Hyperlink"/>
                      </w:rPr>
                      <w:t xml:space="preserve">Dwelling—number of tenancies at full capacity,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3d7d9df19741cd">
                    <w:r>
                      <w:rPr>
                        <w:rStyle w:val="Hyperlink"/>
                      </w:rPr>
                      <w:t xml:space="preserve">Dwelling—number of tenancies, N[NN]</w:t>
                    </w:r>
                  </w:hyperlink>
                </w:p>
                <w:p>
                  <w:r>
                    <w:rPr>
                      <w:b/>
                      <w:i/>
                      <w:color w:val="333333"/>
                    </w:rPr>
                    <w:t xml:space="preserve">DSS specific information:</w:t>
                  </w:r>
                </w:p>
                <w:p>
                  <w:r>
                    <w:t xml:space="preserve">This refers to the number of tenancies as at June 30th of the collection year.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7e0d9f8cbf4820">
                    <w:r>
                      <w:rPr>
                        <w:rStyle w:val="Hyperlink"/>
                      </w:rPr>
                      <w:t xml:space="preserve">Dwelling—number of tenantable vacancies, N[NN]</w:t>
                    </w:r>
                  </w:hyperlink>
                </w:p>
                <w:p>
                  <w:r>
                    <w:rPr>
                      <w:b/>
                      <w:i/>
                      <w:color w:val="333333"/>
                    </w:rPr>
                    <w:t xml:space="preserve">DSS specific information:</w:t>
                  </w:r>
                </w:p>
                <w:p>
                  <w:r>
                    <w:t xml:space="preserve">This refers to the number of tentantable vacancies as at June 30th of the collection year.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83904337614b34">
                    <w:r>
                      <w:rPr>
                        <w:rStyle w:val="Hyperlink"/>
                      </w:rPr>
                      <w:t xml:space="preserve">Dwelling—number of untenantable vacancies, N[NN]</w:t>
                    </w:r>
                  </w:hyperlink>
                </w:p>
                <w:p>
                  <w:r>
                    <w:rPr>
                      <w:b/>
                      <w:i/>
                      <w:color w:val="333333"/>
                    </w:rPr>
                    <w:t xml:space="preserve">DSS specific information:</w:t>
                  </w:r>
                </w:p>
                <w:p>
                  <w:r>
                    <w:t xml:space="preserve">This refers to the number of untentantable vacancies as at June 30th of the collection year.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2ff08cc9bd4227">
                    <w:r>
                      <w:rPr>
                        <w:rStyle w:val="Hyperlink"/>
                      </w:rPr>
                      <w:t xml:space="preserve">Dwelling—structure type, code N[N]</w:t>
                    </w:r>
                  </w:hyperlink>
                </w:p>
                <w:p>
                  <w:r>
                    <w:rPr>
                      <w:b/>
                      <w:i/>
                      <w:color w:val="333333"/>
                    </w:rPr>
                    <w:t xml:space="preserve">DSS specific information:</w:t>
                  </w:r>
                </w:p>
                <w:p>
                  <w:r>
                    <w:t xml:space="preserve">In the Community Housing Collection 2009-10 only values 1, 2, 3 and 8 are applicable. Unknowns are also recorded as 'U' which can be mapped to Not Applicable = 99 in the codeset for this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e0f3d8594245c0">
                    <w:r>
                      <w:rPr>
                        <w:rStyle w:val="Hyperlink"/>
                      </w:rPr>
                      <w:t xml:space="preserve">Dwelling—suburb/town/locality name, text [A(50)]</w:t>
                    </w:r>
                  </w:hyperlink>
                </w:p>
                <w:p>
                  <w:r>
                    <w:rPr>
                      <w:b/>
                      <w:i/>
                      <w:color w:val="333333"/>
                    </w:rPr>
                    <w:t xml:space="preserve">DSS specific information:</w:t>
                  </w:r>
                </w:p>
                <w:p>
                  <w:r>
                    <w:t xml:space="preserve">The Community Housing Collection 2009-10 Jurisdiction manual notes a maximum field length of 15 alphanumeric characters, which is substantially less than the 50 characters recommended by the ABS.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6d01ffa9df487e">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0e672281e4448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463099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fb1d2831d34c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e672281e44488e" /><Relationship Type="http://schemas.openxmlformats.org/officeDocument/2006/relationships/header" Target="/word/header1.xml" Id="R5e76a53a805d46ec" /><Relationship Type="http://schemas.openxmlformats.org/officeDocument/2006/relationships/settings" Target="/word/settings.xml" Id="R8319288328594fcd" /><Relationship Type="http://schemas.openxmlformats.org/officeDocument/2006/relationships/styles" Target="/word/styles.xml" Id="R30b475a8ae824faa" /><Relationship Type="http://schemas.openxmlformats.org/officeDocument/2006/relationships/hyperlink" Target="https://meteor.aihw.gov.au/RegistrationAuthority/11" TargetMode="External" Id="R272d9df4608e46f2" /><Relationship Type="http://schemas.openxmlformats.org/officeDocument/2006/relationships/hyperlink" Target="https://meteor.aihw.gov.au/content/268982" TargetMode="External" Id="R43f292597431417a" /><Relationship Type="http://schemas.openxmlformats.org/officeDocument/2006/relationships/hyperlink" Target="https://meteor.aihw.gov.au/content/464221" TargetMode="External" Id="Ra4c6f65160f54a21" /><Relationship Type="http://schemas.openxmlformats.org/officeDocument/2006/relationships/hyperlink" Target="https://meteor.aihw.gov.au/content/268977" TargetMode="External" Id="Re6ac6e8d9e5b47e2" /><Relationship Type="http://schemas.openxmlformats.org/officeDocument/2006/relationships/hyperlink" Target="https://meteor.aihw.gov.au/content/480123" TargetMode="External" Id="R20e118bba95349b0" /><Relationship Type="http://schemas.openxmlformats.org/officeDocument/2006/relationships/hyperlink" Target="https://meteor.aihw.gov.au/RegistrationAuthority/11" TargetMode="External" Id="R6e26b02b557d4096" /><Relationship Type="http://schemas.openxmlformats.org/officeDocument/2006/relationships/hyperlink" Target="https://meteor.aihw.gov.au/content/463113" TargetMode="External" Id="Rde6d6ea1666e403b" /><Relationship Type="http://schemas.openxmlformats.org/officeDocument/2006/relationships/hyperlink" Target="https://meteor.aihw.gov.au/RegistrationAuthority/11" TargetMode="External" Id="R2ee0b00426ce423b" /><Relationship Type="http://schemas.openxmlformats.org/officeDocument/2006/relationships/hyperlink" Target="https://meteor.aihw.gov.au/content/463280" TargetMode="External" Id="R15666127349043dc" /><Relationship Type="http://schemas.openxmlformats.org/officeDocument/2006/relationships/hyperlink" Target="https://meteor.aihw.gov.au/content/302040" TargetMode="External" Id="Rf3c0ada5fc6d461e" /><Relationship Type="http://schemas.openxmlformats.org/officeDocument/2006/relationships/hyperlink" Target="https://meteor.aihw.gov.au/content/302044" TargetMode="External" Id="Rbb3e8ed835be4ded" /><Relationship Type="http://schemas.openxmlformats.org/officeDocument/2006/relationships/hyperlink" Target="https://meteor.aihw.gov.au/content/464180" TargetMode="External" Id="Rda81e7a3dca84c0f" /><Relationship Type="http://schemas.openxmlformats.org/officeDocument/2006/relationships/hyperlink" Target="https://meteor.aihw.gov.au/content/270125" TargetMode="External" Id="R77831db7575542c8" /><Relationship Type="http://schemas.openxmlformats.org/officeDocument/2006/relationships/hyperlink" Target="https://meteor.aihw.gov.au/content/302656" TargetMode="External" Id="R3fbaa5a263094c7d" /><Relationship Type="http://schemas.openxmlformats.org/officeDocument/2006/relationships/hyperlink" Target="https://meteor.aihw.gov.au/content/462619" TargetMode="External" Id="R39d9f93a837841f1" /><Relationship Type="http://schemas.openxmlformats.org/officeDocument/2006/relationships/hyperlink" Target="https://meteor.aihw.gov.au/content/462619" TargetMode="External" Id="R21dc811c59cb47f6" /><Relationship Type="http://schemas.openxmlformats.org/officeDocument/2006/relationships/hyperlink" Target="https://meteor.aihw.gov.au/content/302513" TargetMode="External" Id="R05faa004bf5f4b66" /><Relationship Type="http://schemas.openxmlformats.org/officeDocument/2006/relationships/hyperlink" Target="https://meteor.aihw.gov.au/content/444112" TargetMode="External" Id="Rd3da6d58ad1c417b" /><Relationship Type="http://schemas.openxmlformats.org/officeDocument/2006/relationships/hyperlink" Target="https://meteor.aihw.gov.au/content/462657" TargetMode="External" Id="R653d7d9df19741cd" /><Relationship Type="http://schemas.openxmlformats.org/officeDocument/2006/relationships/hyperlink" Target="https://meteor.aihw.gov.au/content/462638" TargetMode="External" Id="R377e0d9f8cbf4820" /><Relationship Type="http://schemas.openxmlformats.org/officeDocument/2006/relationships/hyperlink" Target="https://meteor.aihw.gov.au/content/444189" TargetMode="External" Id="Rf483904337614b34" /><Relationship Type="http://schemas.openxmlformats.org/officeDocument/2006/relationships/hyperlink" Target="https://meteor.aihw.gov.au/content/270125" TargetMode="External" Id="R8a2ff08cc9bd4227" /><Relationship Type="http://schemas.openxmlformats.org/officeDocument/2006/relationships/hyperlink" Target="https://meteor.aihw.gov.au/content/385244" TargetMode="External" Id="Rd2e0f3d8594245c0" /><Relationship Type="http://schemas.openxmlformats.org/officeDocument/2006/relationships/hyperlink" Target="https://meteor.aihw.gov.au/content/414987" TargetMode="External" Id="Rf16d01ffa9df487e" /></Relationships>
</file>

<file path=word/_rels/header1.xml.rels>&#65279;<?xml version="1.0" encoding="utf-8"?><Relationships xmlns="http://schemas.openxmlformats.org/package/2006/relationships"><Relationship Type="http://schemas.openxmlformats.org/officeDocument/2006/relationships/image" Target="/media/image.png" Id="R61fb1d2831d34c37" /></Relationships>
</file>