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37abe9dc9244f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09-Child under 5 mortality rate (and excess deaths),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09-Child under 5 mortality rate (and excess deaths),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09-Child under 5 mortality rate (and excess deaths),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721e023c24d9d">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Indigenous status</w:t>
            </w:r>
          </w:p>
          <w:p>
            <w:pPr>
              <w:spacing w:after="160"/>
            </w:pPr>
            <w:r>
              <w:rPr>
                <w:rStyle w:val="row-content-rich-text"/>
              </w:rPr>
              <w:t xml:space="preserve">and</w:t>
            </w:r>
          </w:p>
          <w:p>
            <w:pPr>
              <w:spacing w:after="160"/>
            </w:pPr>
            <w:r>
              <w:rPr>
                <w:rStyle w:val="row-content-rich-text"/>
              </w:rPr>
              <w:t xml:space="preserve">Measure (1b): Excess deaths for Indigenous children aged less than five years.</w:t>
            </w:r>
          </w:p>
          <w:p>
            <w:pPr/>
            <w:r>
              <w:rPr>
                <w:rStyle w:val="row-content-rich-text"/>
              </w:rPr>
              <w:t xml:space="preserve">The Australian Bureau of Statistics (ABS) data for this indicator is for perinatal mortality, infant mortality,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5ee66459394cc4">
              <w:r>
                <w:rPr>
                  <w:rStyle w:val="Hyperlink"/>
                </w:rPr>
                <w:t xml:space="preserve">National Indigenous Reform Agreement (2012)</w:t>
              </w:r>
            </w:hyperlink>
          </w:p>
          <w:p>
            <w:pPr>
              <w:spacing w:before="0" w:after="0"/>
            </w:pPr>
            <w:r>
              <w:rPr>
                <w:rStyle w:val="row-content"/>
                <w:color w:val="244061"/>
              </w:rPr>
              <w:t xml:space="preserve">       </w:t>
            </w:r>
            <w:hyperlink w:history="true" r:id="Rf0d484241a2540c8">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04c76afe4c2480f">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3e83de9ee0894ed4">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94872422800499d">
              <w:r>
                <w:rPr>
                  <w:rStyle w:val="Hyperlink"/>
                </w:rPr>
                <w:t xml:space="preserve">National Indigenous Reform Agreement: PI 09-Child under 5 mortality rate (and excess deaths), 2012 QS</w:t>
              </w:r>
            </w:hyperlink>
          </w:p>
          <w:p>
            <w:pPr>
              <w:spacing w:before="0" w:after="0"/>
            </w:pPr>
            <w:r>
              <w:rPr>
                <w:rStyle w:val="row-content"/>
                <w:color w:val="244061"/>
              </w:rPr>
              <w:t xml:space="preserve">       </w:t>
            </w:r>
            <w:hyperlink w:history="true" r:id="R9734f44e9a3c4f31">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28 days of birth or less (refer to definition under computation)</w:t>
            </w:r>
          </w:p>
          <w:p>
            <w:pPr>
              <w:pStyle w:val="ListParagraph"/>
              <w:numPr>
                <w:ilvl w:val="0"/>
                <w:numId w:val="2"/>
              </w:numPr>
            </w:pPr>
            <w:r>
              <w:rPr>
                <w:rStyle w:val="row-content-rich-text"/>
              </w:rPr>
              <w:t xml:space="preserve">For infants: Less than 1 year of age</w:t>
            </w:r>
          </w:p>
          <w:p>
            <w:pPr>
              <w:pStyle w:val="ListParagraph"/>
              <w:numPr>
                <w:ilvl w:val="0"/>
                <w:numId w:val="2"/>
              </w:numPr>
            </w:pPr>
            <w:r>
              <w:rPr>
                <w:rStyle w:val="row-content-rich-text"/>
              </w:rPr>
              <w:t xml:space="preserve">For children aged 1-4 years: Less than 5 years of age</w:t>
            </w:r>
          </w:p>
          <w:p>
            <w:pPr>
              <w:pStyle w:val="ListParagraph"/>
              <w:numPr>
                <w:ilvl w:val="0"/>
                <w:numId w:val="2"/>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Variability bands are to be calculated for rates (single year data only)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Presentation:</w:t>
            </w:r>
          </w:p>
          <w:p>
            <w:pPr>
              <w:spacing w:after="160"/>
            </w:pPr>
            <w:r>
              <w:rPr>
                <w:rStyle w:val="row-content-rich-text"/>
              </w:rPr>
              <w:t xml:space="preserve">(1a): Number, rate per 1,000 of all births (perinatal), rate per 1,000 live births (infant), rate per 100,000 population (children 1-4 years and children 0-4 years), rate ratio, rate difference and variability bands </w:t>
            </w:r>
          </w:p>
          <w:p>
            <w:pPr>
              <w:spacing w:after="160"/>
            </w:pPr>
            <w:r>
              <w:rPr>
                <w:rStyle w:val="row-content-rich-text"/>
              </w:rPr>
              <w:t xml:space="preserve">(1b): Excess deaths: number.</w:t>
            </w:r>
          </w:p>
          <w:p>
            <w:pPr>
              <w:spacing w:after="160"/>
            </w:pPr>
            <w:r>
              <w:rPr>
                <w:rStyle w:val="row-content-rich-text"/>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Perinatal and infant mortality rates</w:t>
            </w:r>
            <w:r>
              <w:rPr>
                <w:rStyle w:val="row-content-rich-text"/>
              </w:rPr>
              <w:t xml:space="preserve">: 1000 x (Numerator ÷ Denominator).</w:t>
            </w:r>
          </w:p>
          <w:p>
            <w:pPr>
              <w:spacing w:after="160"/>
            </w:pPr>
            <w:r>
              <w:rPr>
                <w:rStyle w:val="row-content-rich-text"/>
                <w:u w:val="single"/>
              </w:rPr>
              <w:t xml:space="preserve">Children 1-4 and 0-4 mortality rates</w:t>
            </w:r>
            <w:r>
              <w:rPr>
                <w:rStyle w:val="row-content-rich-text"/>
              </w:rPr>
              <w:t xml:space="preserve">: 100,000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u w:val="single"/>
              </w:rPr>
              <w:t xml:space="preserve">Crude rate:</w:t>
            </w:r>
          </w:p>
          <w:p>
            <w:hyperlink w:history="true" r:id="Rc1e1d282a76a470d">
              <w:r>
                <w:drawing>
                  <wp:inline xmlns:wp="http://schemas.openxmlformats.org/drawingml/2006/wordprocessingDrawing" distT="0" distB="0" distL="0" distR="0">
                    <wp:extent cx="3200400" cy="942975"/>
                    <wp:effectExtent l="19050" t="0" r="0" b="0"/>
                    <wp:docPr id="2" name="Picture 2" descr="">
                      <a:hlinkClick xmlns:a="http://schemas.openxmlformats.org/drawingml/2006/main" r:id="Rc1e1d282a76a470d" tooltip="NIRA 2012 PI2 crude rates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b4bf344b0b6c431f"/>
                            <a:srcRect/>
                            <a:stretch>
                              <a:fillRect/>
                            </a:stretch>
                          </pic:blipFill>
                          <pic:spPr bwMode="auto">
                            <a:xfrm>
                              <a:off x="0" y="0"/>
                              <a:ext cx="3200400" cy="942975"/>
                            </a:xfrm>
                            <a:prstGeom prst="rect">
                              <a:avLst/>
                            </a:prstGeom>
                          </pic:spPr>
                        </pic:pic>
                      </a:graphicData>
                    </a:graphic>
                  </wp:inline>
                </w:drawing>
              </w:r>
            </w:hyperlink>
          </w:p>
          <w:p>
            <w:pPr>
              <w:spacing w:after="160"/>
            </w:pPr>
            <w:r>
              <w:rPr>
                <w:rStyle w:val="row-content-rich-text"/>
                <w:b/>
              </w:rPr>
              <w:t xml:space="preserve"> </w:t>
            </w:r>
          </w:p>
          <w:p>
            <w:pPr>
              <w:spacing w:after="160"/>
            </w:pPr>
            <w:r>
              <w:rPr>
                <w:rStyle w:val="row-content-rich-text"/>
                <w:b/>
              </w:rPr>
              <w:t xml:space="preserve">Where d = the number of deaths in the relevant age-group </w:t>
            </w:r>
          </w:p>
          <w:p>
            <w:pPr>
              <w:spacing w:after="160"/>
            </w:pPr>
            <w:r>
              <w:rPr>
                <w:rStyle w:val="row-content-rich-text"/>
                <w:b/>
                <w:u w:val="single"/>
              </w:rPr>
              <w:t xml:space="preserve">Percentage change</w:t>
            </w:r>
            <w:r>
              <w:rPr>
                <w:rStyle w:val="row-content-rich-text"/>
                <w:b/>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b/>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 </w:t>
            </w:r>
          </w:p>
          <w:p>
            <w:pPr>
              <w:spacing w:after="160"/>
            </w:pPr>
            <w:r>
              <w:rPr>
                <w:rStyle w:val="row-content-rich-text"/>
                <w:b/>
              </w:rPr>
              <w:t xml:space="preserve">LINEST (known_y’s, known_x’s, true) entered as an array formula (Ctrl, Shift, Enter).</w:t>
            </w:r>
          </w:p>
          <w:p>
            <w:pPr>
              <w:spacing w:after="160"/>
            </w:pPr>
            <w:r>
              <w:rPr>
                <w:rStyle w:val="row-content-rich-text"/>
                <w:b/>
                <w:u w:val="single"/>
              </w:rPr>
              <w:t xml:space="preserve">Statistical significance of change</w:t>
            </w:r>
            <w:r>
              <w:rPr>
                <w:rStyle w:val="row-content-rich-text"/>
                <w:b/>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b/>
                <w:i/>
              </w:rPr>
              <w:t xml:space="preserve">95% CI(x)</w:t>
            </w:r>
            <w:r>
              <w:rPr>
                <w:rStyle w:val="row-content-rich-text"/>
                <w:b/>
              </w:rPr>
              <w:t xml:space="preserve"> = </w:t>
            </w:r>
            <w:r>
              <w:rPr>
                <w:rStyle w:val="row-content-rich-text"/>
                <w:b/>
                <w:i/>
              </w:rPr>
              <w:t xml:space="preserve">x</w:t>
            </w:r>
            <w:r>
              <w:rPr>
                <w:rStyle w:val="row-content-rich-text"/>
                <w:b/>
              </w:rPr>
              <w:t xml:space="preserve"> ± 1.96 x </w:t>
            </w:r>
            <w:r>
              <w:rPr>
                <w:rStyle w:val="row-content-rich-text"/>
                <w:b/>
                <w:i/>
              </w:rPr>
              <w:t xml:space="preserve">SE(x)</w:t>
            </w:r>
          </w:p>
          <w:p>
            <w:pPr>
              <w:spacing w:after="160"/>
            </w:pPr>
            <w:r>
              <w:rPr>
                <w:rStyle w:val="row-content-rich-text"/>
                <w:b/>
              </w:rPr>
              <w:t xml:space="preserve">where x is the average annual change (slope estimate).</w:t>
            </w:r>
          </w:p>
          <w:p>
            <w:pPr>
              <w:spacing w:after="160"/>
            </w:pPr>
            <w:r>
              <w:rPr>
                <w:rStyle w:val="row-content-rich-text"/>
                <w:b/>
              </w:rPr>
              <w:t xml:space="preserve">If the upper and lower 95% confidence intervals do not include zero, then it can be concluded that there is statistical evidence of an increasing or decreasing trend in the data over the study period.</w:t>
            </w:r>
          </w:p>
          <w:p>
            <w:pPr>
              <w:spacing w:after="160"/>
            </w:pPr>
            <w:r>
              <w:rPr>
                <w:rStyle w:val="row-content-rich-text"/>
                <w:b/>
              </w:rPr>
              <w:t xml:space="preserve">Excess deaths: Observed number of Indigenous deaths among babies before, during or within one month of birth (perinatals), infants, children aged 1-4 years and children aged 0-4 years less expected number of deaths among Indigenous children of the corresponding age group if the age specific rate of the non-Indigenous population for the corresponding period was applied to the Indigenous population.</w:t>
            </w:r>
          </w:p>
          <w:p>
            <w:pPr>
              <w:spacing w:after="160"/>
            </w:pPr>
            <w:r>
              <w:rPr>
                <w:rStyle w:val="row-content-rich-text"/>
                <w:b/>
                <w:u w:val="single"/>
              </w:rPr>
              <w:t xml:space="preserve">Definitions</w:t>
            </w:r>
            <w:r>
              <w:rPr>
                <w:rStyle w:val="row-content-rich-text"/>
                <w:b/>
              </w:rPr>
              <w:t xml:space="preserve">:</w:t>
            </w:r>
          </w:p>
          <w:p>
            <w:pPr/>
            <w:r>
              <w:rPr>
                <w:rStyle w:val="row-content-rich-text"/>
                <w:b/>
              </w:rPr>
              <w:t xml:space="preserve">‘Perinatal mortality’ is defined in the ABS Perinatals Collection as death of a baby within 28 days of birth (neonatal death) or of a fetus (unborn child) of at least 20 completed weeks of gestation or with a birth 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fetal and neonatal deaths</w:t>
            </w:r>
          </w:p>
          <w:p>
            <w:r>
              <w:rPr>
                <w:rStyle w:val="row-content"/>
                <w:b/>
              </w:rPr>
              <w:t xml:space="preserve">Data Source</w:t>
            </w:r>
          </w:p>
          <w:p>
            <w:hyperlink w:history="true" r:id="R3403f762442b4976">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ab59a2e1b1a147aa">
              <w:r>
                <w:rPr>
                  <w:rStyle w:val="Hyperlink"/>
                </w:rPr>
                <w:t xml:space="preserve">Birth—birth status, code N</w:t>
              </w:r>
            </w:hyperlink>
          </w:p>
          <w:p>
            <w:r>
              <w:rPr>
                <w:rStyle w:val="row-content"/>
                <w:b/>
              </w:rPr>
              <w:t xml:space="preserve">Data Source</w:t>
            </w:r>
          </w:p>
          <w:p>
            <w:hyperlink w:history="true" r:id="R1ec26f99bf5647ad">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9f96dc8e5adb4854">
              <w:r>
                <w:rPr>
                  <w:rStyle w:val="Hyperlink"/>
                </w:rPr>
                <w:t xml:space="preserve">Person—age, total years N[NN]</w:t>
              </w:r>
            </w:hyperlink>
          </w:p>
          <w:p>
            <w:r>
              <w:rPr>
                <w:rStyle w:val="row-content"/>
                <w:b/>
              </w:rPr>
              <w:t xml:space="preserve">Data Source</w:t>
            </w:r>
          </w:p>
          <w:p>
            <w:hyperlink w:history="true" r:id="R869e159465944cb8">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 weight of at least 400 grams.</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bf9206f2414f56">
              <w:r>
                <w:rPr>
                  <w:rStyle w:val="Hyperlink"/>
                </w:rPr>
                <w:t xml:space="preserve">Birth—birth status, code N</w:t>
              </w:r>
            </w:hyperlink>
          </w:p>
          <w:p>
            <w:r>
              <w:rPr>
                <w:rStyle w:val="row-content"/>
                <w:b/>
              </w:rPr>
              <w:t xml:space="preserve">Data Source</w:t>
            </w:r>
          </w:p>
          <w:p>
            <w:hyperlink w:history="true" r:id="R81a3f498926c4caa">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hyperlink w:history="true" r:id="Rcdc957c50a9b45c5">
              <w:r>
                <w:rPr>
                  <w:rStyle w:val="Hyperlink"/>
                </w:rPr>
                <w:t xml:space="preserve">Person—age, total years N[NN]</w:t>
              </w:r>
            </w:hyperlink>
          </w:p>
          <w:p>
            <w:r>
              <w:rPr>
                <w:rStyle w:val="row-content"/>
                <w:b/>
              </w:rPr>
              <w:t xml:space="preserve">Data Source</w:t>
            </w:r>
          </w:p>
          <w:p>
            <w:hyperlink w:history="true" r:id="Rf8e268d0c33c40ef">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c2579aa2b302443a">
              <w:r>
                <w:rPr>
                  <w:rStyle w:val="Hyperlink"/>
                </w:rPr>
                <w:t xml:space="preserve">Person—age, total years N[NN]</w:t>
              </w:r>
            </w:hyperlink>
          </w:p>
          <w:p>
            <w:r>
              <w:rPr>
                <w:rStyle w:val="row-content"/>
                <w:b/>
              </w:rPr>
              <w:t xml:space="preserve">Data Source</w:t>
            </w:r>
          </w:p>
          <w:p>
            <w:hyperlink w:history="true" r:id="R1292cc33192f4d7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6d55ab7643ce48fb">
              <w:r>
                <w:rPr>
                  <w:rStyle w:val="Hyperlink"/>
                </w:rPr>
                <w:t xml:space="preserve">Person—estimated resident population of Australia, total people N[N(7)]</w:t>
              </w:r>
            </w:hyperlink>
          </w:p>
          <w:p>
            <w:r>
              <w:rPr>
                <w:rStyle w:val="row-content"/>
                <w:b/>
              </w:rPr>
              <w:t xml:space="preserve">Data Source</w:t>
            </w:r>
          </w:p>
          <w:p>
            <w:hyperlink w:history="true" r:id="Ra345839a4186489b">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Estimated resident population (ERP) is derived from Census, Post-enumeration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e6f98e9b97fa48ce">
              <w:r>
                <w:rPr>
                  <w:rStyle w:val="Hyperlink"/>
                </w:rPr>
                <w:t xml:space="preserve">Person—estimated resident population of Australia, total people N[N(7)]</w:t>
              </w:r>
            </w:hyperlink>
          </w:p>
          <w:p>
            <w:r>
              <w:rPr>
                <w:rStyle w:val="row-content"/>
                <w:b/>
              </w:rPr>
              <w:t xml:space="preserve">Data Source</w:t>
            </w:r>
          </w:p>
          <w:p>
            <w:hyperlink w:history="true" r:id="R173aa16f3e5147f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estimates of fertility, mortality, net migration etc.</w:t>
            </w:r>
          </w:p>
          <w:p>
            <w:r>
              <w:rPr>
                <w:rStyle w:val="row-content"/>
              </w:rPr>
              <w:t xml:space="preserve">Child 1-4 and 0-4 years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w:t>
            </w:r>
          </w:p>
          <w:p>
            <w:pPr>
              <w:spacing w:after="160"/>
            </w:pPr>
            <w:r>
              <w:rPr>
                <w:rStyle w:val="row-content-rich-text"/>
                <w:b/>
              </w:rPr>
              <w:t xml:space="preserve">Current period</w:t>
            </w:r>
            <w:r>
              <w:rPr>
                <w:rStyle w:val="row-content-rich-text"/>
              </w:rPr>
              <w:t xml:space="preserve">: 2005-2009 (perinatal) and 2006-2010 (infant, child 1-4, child 0-4):</w:t>
            </w:r>
          </w:p>
          <w:p>
            <w:pPr>
              <w:spacing w:after="160"/>
            </w:pPr>
            <w:r>
              <w:rPr>
                <w:rStyle w:val="row-content-rich-text"/>
              </w:rPr>
              <w:t xml:space="preserve">For Indigenous and non-Indigenous (numbers, rates, rate ratios, and rate differences):</w:t>
            </w:r>
          </w:p>
          <w:p>
            <w:pPr>
              <w:pStyle w:val="ListParagraph"/>
              <w:numPr>
                <w:ilvl w:val="0"/>
                <w:numId w:val="3"/>
              </w:numPr>
            </w:pPr>
            <w:r>
              <w:rPr>
                <w:rStyle w:val="row-content-rich-text"/>
              </w:rPr>
              <w:t xml:space="preserve">State and territory (including national total)  by age group (perinatal (fetal, neonatal and total perinatal), infant, child 1-4 years and child 0-4 years) by Indigenous status</w:t>
            </w:r>
          </w:p>
          <w:p>
            <w:pPr>
              <w:spacing w:after="160"/>
            </w:pPr>
            <w:r>
              <w:rPr>
                <w:rStyle w:val="row-content-rich-text"/>
                <w:b/>
              </w:rPr>
              <w:t xml:space="preserve">Time series:</w:t>
            </w:r>
          </w:p>
          <w:p>
            <w:pPr>
              <w:spacing w:after="160"/>
            </w:pPr>
            <w:r>
              <w:rPr>
                <w:rStyle w:val="row-content-rich-text"/>
              </w:rPr>
              <w:t xml:space="preserve">2008 (previously supplied); 2009 (perinatal–required for 2012 reporting) and 2010 (infant, child 0-4-required for 2012 reporting):</w:t>
            </w:r>
          </w:p>
          <w:p>
            <w:pPr>
              <w:spacing w:after="160"/>
            </w:pPr>
            <w:r>
              <w:rPr>
                <w:rStyle w:val="row-content-rich-text"/>
              </w:rPr>
              <w:t xml:space="preserve">For Indigenous and non-Indigenous (numbers, rates, rate ratios, rate differences, variability bands, percentage change and statistical significance of change):</w:t>
            </w:r>
          </w:p>
          <w:p>
            <w:pPr>
              <w:spacing w:after="160"/>
            </w:pPr>
            <w:r>
              <w:rPr>
                <w:rStyle w:val="row-content-rich-text"/>
              </w:rPr>
              <w:t xml:space="preserve">National by age group (perinatal, infant, and child 0-4), by Indigenous status</w:t>
            </w:r>
          </w:p>
          <w:p>
            <w:pPr>
              <w:spacing w:after="160"/>
            </w:pPr>
            <w:r>
              <w:rPr>
                <w:rStyle w:val="row-content-rich-text"/>
              </w:rPr>
              <w:t xml:space="preserve">Measure (1b):</w:t>
            </w:r>
          </w:p>
          <w:p>
            <w:pPr>
              <w:spacing w:after="160"/>
            </w:pPr>
            <w:r>
              <w:rPr>
                <w:rStyle w:val="row-content-rich-text"/>
              </w:rPr>
              <w:t xml:space="preserve">Current period (5 year aggregated data):</w:t>
            </w:r>
          </w:p>
          <w:p>
            <w:pPr>
              <w:spacing w:after="160"/>
            </w:pPr>
            <w:r>
              <w:rPr>
                <w:rStyle w:val="row-content-rich-text"/>
              </w:rPr>
              <w:t xml:space="preserve">For Indigenous only (number – observed, expected, excess):</w:t>
            </w:r>
          </w:p>
          <w:p>
            <w:pPr>
              <w:pStyle w:val="ListParagraph"/>
              <w:numPr>
                <w:ilvl w:val="0"/>
                <w:numId w:val="5"/>
              </w:numPr>
            </w:pPr>
            <w:r>
              <w:rPr>
                <w:rStyle w:val="row-content-rich-text"/>
              </w:rPr>
              <w:t xml:space="preserve">By age-group (perinatal, infant, child 1-4 years and child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4b97897b5c4b6a">
              <w:r>
                <w:rPr>
                  <w:rStyle w:val="Hyperlink"/>
                </w:rPr>
                <w:t xml:space="preserve">Person—Indigenous status, code N</w:t>
              </w:r>
            </w:hyperlink>
          </w:p>
          <w:p>
            <w:r>
              <w:rPr>
                <w:rStyle w:val="row-content"/>
                <w:b/>
              </w:rPr>
              <w:t xml:space="preserve">Data Source</w:t>
            </w:r>
          </w:p>
          <w:p>
            <w:hyperlink w:history="true" r:id="R5c3b29987b234b33">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745de89e4d947e2">
              <w:r>
                <w:rPr>
                  <w:rStyle w:val="Hyperlink"/>
                </w:rPr>
                <w:t xml:space="preserve">Person—Indigenous status, code N</w:t>
              </w:r>
            </w:hyperlink>
          </w:p>
          <w:p>
            <w:r>
              <w:rPr>
                <w:rStyle w:val="row-content"/>
                <w:b/>
              </w:rPr>
              <w:t xml:space="preserve">Data Source</w:t>
            </w:r>
          </w:p>
          <w:p>
            <w:hyperlink w:history="true" r:id="R1e0a0ab549564f36">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e72b9167f8e4be8">
              <w:r>
                <w:rPr>
                  <w:rStyle w:val="Hyperlink"/>
                </w:rPr>
                <w:t xml:space="preserve">Person—area of usual residence, geographical location code (ASGC 2008) NNNNN</w:t>
              </w:r>
            </w:hyperlink>
          </w:p>
          <w:p>
            <w:r>
              <w:rPr>
                <w:rStyle w:val="row-content"/>
                <w:b/>
              </w:rPr>
              <w:t xml:space="preserve">Data Source</w:t>
            </w:r>
          </w:p>
          <w:p>
            <w:hyperlink w:history="true" r:id="R08f66c125f894c4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e4af333451d4e17">
              <w:r>
                <w:rPr>
                  <w:rStyle w:val="Hyperlink"/>
                </w:rPr>
                <w:t xml:space="preserve">Person—area of usual residence, geographical location code (ASGC 2008) NNNNN</w:t>
              </w:r>
            </w:hyperlink>
          </w:p>
          <w:p>
            <w:r>
              <w:rPr>
                <w:rStyle w:val="row-content"/>
                <w:b/>
              </w:rPr>
              <w:t xml:space="preserve">Data Source</w:t>
            </w:r>
          </w:p>
          <w:p>
            <w:hyperlink w:history="true" r:id="R3dbfafa9aa124e7e">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2010 for ABS infant and child mortality data; and 2009 for ABS perinatal data;</w:t>
            </w:r>
          </w:p>
          <w:p>
            <w:pPr>
              <w:spacing w:after="160"/>
            </w:pPr>
            <w:r>
              <w:rPr>
                <w:rStyle w:val="row-content-rich-text"/>
                <w:u w:val="single"/>
              </w:rPr>
              <w:t xml:space="preserve">Infant and child mortality:</w:t>
            </w:r>
          </w:p>
          <w:p>
            <w:pPr>
              <w:spacing w:after="160"/>
            </w:pPr>
            <w:r>
              <w:rPr>
                <w:rStyle w:val="row-content-rich-text"/>
              </w:rPr>
              <w:t xml:space="preserve">Aggregated data (2006-2010) will be reported for the current reporting period.</w:t>
            </w:r>
          </w:p>
          <w:p>
            <w:pPr>
              <w:spacing w:after="160"/>
            </w:pPr>
            <w:r>
              <w:rPr>
                <w:rStyle w:val="row-content-rich-text"/>
              </w:rPr>
              <w:t xml:space="preserve">Single year data (2008, 2009 and 2010) will be reported for time series analyses (national level only for infants and child 0-4 years), noting that data provided for previous years will be used unless a resupply is provided.</w:t>
            </w:r>
          </w:p>
          <w:p>
            <w:pPr>
              <w:spacing w:after="160"/>
            </w:pPr>
            <w:r>
              <w:rPr>
                <w:rStyle w:val="row-content-rich-text"/>
                <w:u w:val="single"/>
              </w:rPr>
              <w:t xml:space="preserve">Perinatal data:</w:t>
            </w:r>
          </w:p>
          <w:p>
            <w:pPr>
              <w:spacing w:after="160"/>
            </w:pPr>
            <w:r>
              <w:rPr>
                <w:rStyle w:val="row-content-rich-text"/>
              </w:rPr>
              <w:t xml:space="preserve">Aggregated data (2005-2009) will be reported for the current reporting period.</w:t>
            </w:r>
          </w:p>
          <w:p>
            <w:pPr>
              <w:spacing w:after="160"/>
            </w:pPr>
            <w:r>
              <w:rPr>
                <w:rStyle w:val="row-content-rich-text"/>
              </w:rPr>
              <w:t xml:space="preserve">Single year data (2008 and 2009) will be reported for time series analyses (national level only for perinatals) noting that data provided for previous years will be used unless a resupply is provided.</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mortality of Indigenous persons (NSW, Qld, WA, SA and NT).</w:t>
            </w:r>
          </w:p>
          <w:p>
            <w:pPr>
              <w:spacing w:after="160"/>
            </w:pPr>
            <w:r>
              <w:rPr>
                <w:rStyle w:val="row-content-rich-text"/>
              </w:rPr>
              <w:t xml:space="preserve">National rates should include these five states and territories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mortality data is subject to high variability due to small numbers of deaths among children 0 to 4 years.</w:t>
            </w:r>
          </w:p>
          <w:p>
            <w:pPr>
              <w:spacing w:after="160"/>
            </w:pPr>
            <w:r>
              <w:rPr>
                <w:rStyle w:val="row-content-rich-text"/>
              </w:rPr>
              <w:t xml:space="preserve">Due to the small number of Indigenous deaths reported each year, 5 year combined data will be reported for the current reporting period. Single year data will be used for reporting time series.</w:t>
            </w:r>
          </w:p>
          <w:p>
            <w:pPr>
              <w:spacing w:after="160"/>
            </w:pPr>
            <w:r>
              <w:rPr>
                <w:rStyle w:val="row-content-rich-text"/>
              </w:rPr>
              <w:t xml:space="preserve">To report trends, the COAG Reform Council will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They should not be used for comparing mortality rates at a single point in time between jurisdictions as the variability bands and mortality rates do not take into account differences in under-identification of Indigenous deaths between jurisdictions. </w:t>
            </w:r>
          </w:p>
          <w:p>
            <w:pPr>
              <w:spacing w:after="160"/>
            </w:pPr>
            <w:r>
              <w:rPr>
                <w:rStyle w:val="row-content-rich-text"/>
              </w:rPr>
              <w:t xml:space="preserve">Baseline year for NIRA target (Halve the child mortality gap within a decade) is 2008; baseline year for this indicator is 2008; target year is 2018.</w:t>
            </w:r>
          </w:p>
          <w:p>
            <w:pPr/>
            <w:r>
              <w:rPr>
                <w:rStyle w:val="row-content-rich-text"/>
              </w:rPr>
              <w:t xml:space="preserve">Perinatal data from the AIHW Perinatal Data Collection was reported for this indicator in previous reporting cycles, however it is no longer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eb6e7b452274dbd">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c754fd43422425b">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4c9f28ef3df4bdf">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00a6985d3ec484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68ae200606343c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9c315e21a2c4c5f">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36ced28ed3f406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a8cb73784834276">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c323448f4b442a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5fe15347314b78">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57e3eb946f50498b">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2e6f92ee698948ab">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faa2ef842b784fc0">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abb9bf7038814a87">
              <w:r>
                <w:rPr>
                  <w:rStyle w:val="Hyperlink"/>
                </w:rPr>
                <w:t xml:space="preserve">National Healthcare Agreement: PB 09-Halve the mortality gap for Indigenous children under five within a decade, 2012</w:t>
              </w:r>
            </w:hyperlink>
          </w:p>
          <w:p>
            <w:pPr>
              <w:spacing w:before="0" w:after="0"/>
            </w:pPr>
            <w:r>
              <w:rPr>
                <w:rStyle w:val="row-content"/>
                <w:color w:val="244061"/>
              </w:rPr>
              <w:t xml:space="preserve">       </w:t>
            </w:r>
            <w:hyperlink w:history="true" r:id="R3f90564379e54e3e">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a59070b9440e458e">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7120228c78b5486d">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732f7c4ae4f941d7">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f6fa1bdbf9b54f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438608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4852d05ff34e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fa1bdbf9b54fc3" /><Relationship Type="http://schemas.openxmlformats.org/officeDocument/2006/relationships/header" Target="/word/header1.xml" Id="R7dfafaa7f003460f" /><Relationship Type="http://schemas.openxmlformats.org/officeDocument/2006/relationships/settings" Target="/word/settings.xml" Id="Raca1e32dc739478a" /><Relationship Type="http://schemas.openxmlformats.org/officeDocument/2006/relationships/styles" Target="/word/styles.xml" Id="R8ceb022d49b44e13" /><Relationship Type="http://schemas.openxmlformats.org/officeDocument/2006/relationships/hyperlink" Target="https://meteor.aihw.gov.au/RegistrationAuthority/6" TargetMode="External" Id="Rff0721e023c24d9d" /><Relationship Type="http://schemas.openxmlformats.org/officeDocument/2006/relationships/hyperlink" Target="https://meteor.aihw.gov.au/content/438475" TargetMode="External" Id="R695ee66459394cc4" /><Relationship Type="http://schemas.openxmlformats.org/officeDocument/2006/relationships/hyperlink" Target="https://meteor.aihw.gov.au/RegistrationAuthority/6" TargetMode="External" Id="Rf0d484241a2540c8" /><Relationship Type="http://schemas.openxmlformats.org/officeDocument/2006/relationships/hyperlink" Target="https://meteor.aihw.gov.au/content/396163" TargetMode="External" Id="R904c76afe4c2480f" /><Relationship Type="http://schemas.openxmlformats.org/officeDocument/2006/relationships/hyperlink" Target="https://meteor.aihw.gov.au/RegistrationAuthority/6" TargetMode="External" Id="R3e83de9ee0894ed4" /><Relationship Type="http://schemas.openxmlformats.org/officeDocument/2006/relationships/hyperlink" Target="https://meteor.aihw.gov.au/content/480306" TargetMode="External" Id="Ra94872422800499d" /><Relationship Type="http://schemas.openxmlformats.org/officeDocument/2006/relationships/hyperlink" Target="https://meteor.aihw.gov.au/RegistrationAuthority/6" TargetMode="External" Id="R9734f44e9a3c4f31" /><Relationship Type="http://schemas.openxmlformats.org/officeDocument/2006/relationships/numbering" Target="/word/numbering.xml" Id="R3cb9d4f7f76d4b4b" /><Relationship Type="http://schemas.openxmlformats.org/officeDocument/2006/relationships/hyperlink" Target="https://meteor.aihw.gov.au/content/454970" TargetMode="External" Id="Rc1e1d282a76a470d" /><Relationship Type="http://schemas.openxmlformats.org/officeDocument/2006/relationships/image" Target="/media/image.jpg" Id="Rb4bf344b0b6c431f" /><Relationship Type="http://schemas.openxmlformats.org/officeDocument/2006/relationships/hyperlink" Target="https://meteor.aihw.gov.au/content/396455" TargetMode="External" Id="R3403f762442b4976" /><Relationship Type="http://schemas.openxmlformats.org/officeDocument/2006/relationships/hyperlink" Target="https://meteor.aihw.gov.au/content/269949" TargetMode="External" Id="Rab59a2e1b1a147aa" /><Relationship Type="http://schemas.openxmlformats.org/officeDocument/2006/relationships/hyperlink" Target="https://meteor.aihw.gov.au/content/396455" TargetMode="External" Id="R1ec26f99bf5647ad" /><Relationship Type="http://schemas.openxmlformats.org/officeDocument/2006/relationships/hyperlink" Target="https://meteor.aihw.gov.au/content/303794" TargetMode="External" Id="R9f96dc8e5adb4854" /><Relationship Type="http://schemas.openxmlformats.org/officeDocument/2006/relationships/hyperlink" Target="https://meteor.aihw.gov.au/content/394481" TargetMode="External" Id="R869e159465944cb8" /><Relationship Type="http://schemas.openxmlformats.org/officeDocument/2006/relationships/hyperlink" Target="https://meteor.aihw.gov.au/content/269949" TargetMode="External" Id="R78bf9206f2414f56" /><Relationship Type="http://schemas.openxmlformats.org/officeDocument/2006/relationships/hyperlink" Target="https://meteor.aihw.gov.au/content/394483" TargetMode="External" Id="R81a3f498926c4caa" /><Relationship Type="http://schemas.openxmlformats.org/officeDocument/2006/relationships/hyperlink" Target="https://meteor.aihw.gov.au/content/303794" TargetMode="External" Id="Rcdc957c50a9b45c5" /><Relationship Type="http://schemas.openxmlformats.org/officeDocument/2006/relationships/hyperlink" Target="https://meteor.aihw.gov.au/content/393625" TargetMode="External" Id="Rf8e268d0c33c40ef" /><Relationship Type="http://schemas.openxmlformats.org/officeDocument/2006/relationships/hyperlink" Target="https://meteor.aihw.gov.au/content/303794" TargetMode="External" Id="Rc2579aa2b302443a" /><Relationship Type="http://schemas.openxmlformats.org/officeDocument/2006/relationships/hyperlink" Target="https://meteor.aihw.gov.au/content/394092" TargetMode="External" Id="R1292cc33192f4d70" /><Relationship Type="http://schemas.openxmlformats.org/officeDocument/2006/relationships/hyperlink" Target="https://meteor.aihw.gov.au/content/388656" TargetMode="External" Id="R6d55ab7643ce48fb" /><Relationship Type="http://schemas.openxmlformats.org/officeDocument/2006/relationships/hyperlink" Target="https://meteor.aihw.gov.au/content/393625" TargetMode="External" Id="Ra345839a4186489b" /><Relationship Type="http://schemas.openxmlformats.org/officeDocument/2006/relationships/hyperlink" Target="https://meteor.aihw.gov.au/content/388656" TargetMode="External" Id="Re6f98e9b97fa48ce" /><Relationship Type="http://schemas.openxmlformats.org/officeDocument/2006/relationships/hyperlink" Target="https://meteor.aihw.gov.au/content/394092" TargetMode="External" Id="R173aa16f3e5147ff" /><Relationship Type="http://schemas.openxmlformats.org/officeDocument/2006/relationships/hyperlink" Target="https://meteor.aihw.gov.au/content/291036" TargetMode="External" Id="R1b4b97897b5c4b6a" /><Relationship Type="http://schemas.openxmlformats.org/officeDocument/2006/relationships/hyperlink" Target="https://meteor.aihw.gov.au/content/394481" TargetMode="External" Id="R5c3b29987b234b33" /><Relationship Type="http://schemas.openxmlformats.org/officeDocument/2006/relationships/hyperlink" Target="https://meteor.aihw.gov.au/content/291036" TargetMode="External" Id="Ra745de89e4d947e2" /><Relationship Type="http://schemas.openxmlformats.org/officeDocument/2006/relationships/hyperlink" Target="https://meteor.aihw.gov.au/content/396455" TargetMode="External" Id="R1e0a0ab549564f36" /><Relationship Type="http://schemas.openxmlformats.org/officeDocument/2006/relationships/hyperlink" Target="https://meteor.aihw.gov.au/content/377103" TargetMode="External" Id="Rae72b9167f8e4be8" /><Relationship Type="http://schemas.openxmlformats.org/officeDocument/2006/relationships/hyperlink" Target="https://meteor.aihw.gov.au/content/394481" TargetMode="External" Id="R08f66c125f894c4a" /><Relationship Type="http://schemas.openxmlformats.org/officeDocument/2006/relationships/hyperlink" Target="https://meteor.aihw.gov.au/content/377103" TargetMode="External" Id="R1e4af333451d4e17" /><Relationship Type="http://schemas.openxmlformats.org/officeDocument/2006/relationships/hyperlink" Target="https://meteor.aihw.gov.au/content/396455" TargetMode="External" Id="R3dbfafa9aa124e7e" /><Relationship Type="http://schemas.openxmlformats.org/officeDocument/2006/relationships/hyperlink" Target="https://meteor.aihw.gov.au/content/410671" TargetMode="External" Id="Raeb6e7b452274dbd" /><Relationship Type="http://schemas.openxmlformats.org/officeDocument/2006/relationships/hyperlink" Target="https://meteor.aihw.gov.au/content/394483" TargetMode="External" Id="Rcc754fd43422425b" /><Relationship Type="http://schemas.openxmlformats.org/officeDocument/2006/relationships/hyperlink" Target="https://meteor.aihw.gov.au/content/394481" TargetMode="External" Id="R84c9f28ef3df4bdf" /><Relationship Type="http://schemas.openxmlformats.org/officeDocument/2006/relationships/hyperlink" Target="https://meteor.aihw.gov.au/content/393625" TargetMode="External" Id="R500a6985d3ec4847" /><Relationship Type="http://schemas.openxmlformats.org/officeDocument/2006/relationships/hyperlink" Target="https://meteor.aihw.gov.au/content/449216" TargetMode="External" Id="Rf68ae200606343c3" /><Relationship Type="http://schemas.openxmlformats.org/officeDocument/2006/relationships/hyperlink" Target="https://meteor.aihw.gov.au/content/396455" TargetMode="External" Id="R99c315e21a2c4c5f" /><Relationship Type="http://schemas.openxmlformats.org/officeDocument/2006/relationships/hyperlink" Target="https://meteor.aihw.gov.au/content/394092" TargetMode="External" Id="R836ced28ed3f406a" /><Relationship Type="http://schemas.openxmlformats.org/officeDocument/2006/relationships/hyperlink" Target="https://meteor.aihw.gov.au/content/449223" TargetMode="External" Id="Rba8cb73784834276" /><Relationship Type="http://schemas.openxmlformats.org/officeDocument/2006/relationships/hyperlink" Target="https://meteor.aihw.gov.au/content/410271" TargetMode="External" Id="R3c323448f4b442ac" /><Relationship Type="http://schemas.openxmlformats.org/officeDocument/2006/relationships/hyperlink" Target="https://meteor.aihw.gov.au/content/425757" TargetMode="External" Id="R985fe15347314b78" /><Relationship Type="http://schemas.openxmlformats.org/officeDocument/2006/relationships/hyperlink" Target="https://meteor.aihw.gov.au/RegistrationAuthority/6" TargetMode="External" Id="R57e3eb946f50498b" /><Relationship Type="http://schemas.openxmlformats.org/officeDocument/2006/relationships/hyperlink" Target="https://meteor.aihw.gov.au/content/481154" TargetMode="External" Id="R2e6f92ee698948ab" /><Relationship Type="http://schemas.openxmlformats.org/officeDocument/2006/relationships/hyperlink" Target="https://meteor.aihw.gov.au/RegistrationAuthority/6" TargetMode="External" Id="Rfaa2ef842b784fc0" /><Relationship Type="http://schemas.openxmlformats.org/officeDocument/2006/relationships/hyperlink" Target="https://meteor.aihw.gov.au/content/443707" TargetMode="External" Id="Rabb9bf7038814a87" /><Relationship Type="http://schemas.openxmlformats.org/officeDocument/2006/relationships/hyperlink" Target="https://meteor.aihw.gov.au/RegistrationAuthority/12" TargetMode="External" Id="R3f90564379e54e3e" /><Relationship Type="http://schemas.openxmlformats.org/officeDocument/2006/relationships/hyperlink" Target="https://meteor.aihw.gov.au/RegistrationAuthority/6" TargetMode="External" Id="Ra59070b9440e458e" /><Relationship Type="http://schemas.openxmlformats.org/officeDocument/2006/relationships/hyperlink" Target="https://meteor.aihw.gov.au/content/443683" TargetMode="External" Id="R7120228c78b5486d" /><Relationship Type="http://schemas.openxmlformats.org/officeDocument/2006/relationships/hyperlink" Target="https://meteor.aihw.gov.au/RegistrationAuthority/12" TargetMode="External" Id="R732f7c4ae4f941d7" /></Relationships>
</file>

<file path=word/_rels/header1.xml.rels>&#65279;<?xml version="1.0" encoding="utf-8"?><Relationships xmlns="http://schemas.openxmlformats.org/package/2006/relationships"><Relationship Type="http://schemas.openxmlformats.org/officeDocument/2006/relationships/image" Target="/media/image.png" Id="Rdc4852d05ff34e6a" /></Relationships>
</file>