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9196b0c86145b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03-Hospitalisation rates by principal diagnosis,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03-Hospitalisation rates by principal diagnosis,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03-Hospitalisation rates by principal diagnosis,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24efd5efa41c3">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leading principal diagnoses for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Australians and where programs are succeeding and where they are not will assist in achieving the closing the gap targets.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0b62c62e574306">
              <w:r>
                <w:rPr>
                  <w:rStyle w:val="Hyperlink"/>
                </w:rPr>
                <w:t xml:space="preserve">National Indigenous Reform Agreement (2011)</w:t>
              </w:r>
            </w:hyperlink>
          </w:p>
          <w:p>
            <w:pPr>
              <w:spacing w:before="0" w:after="0"/>
            </w:pPr>
            <w:r>
              <w:rPr>
                <w:rStyle w:val="row-content"/>
                <w:color w:val="244061"/>
              </w:rPr>
              <w:t xml:space="preserve">       </w:t>
            </w:r>
            <w:hyperlink w:history="true" r:id="Rf47b657693b44294">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45b125c7364a4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383b784f47674d9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1,000 persons; percentage; and causes listed from highest to lowest percentage.</w:t>
            </w:r>
          </w:p>
          <w:p>
            <w:pPr>
              <w:spacing w:after="160"/>
            </w:pPr>
            <w:r>
              <w:rPr>
                <w:rStyle w:val="row-content-rich-text"/>
              </w:rPr>
              <w:t xml:space="preserve">Definitions:</w:t>
            </w:r>
          </w:p>
          <w:p>
            <w:pPr>
              <w:spacing w:after="160"/>
            </w:pPr>
            <w:r>
              <w:rPr>
                <w:rStyle w:val="row-content-rich-text"/>
              </w:rPr>
              <w:t xml:space="preserve">Leading principal diagnoses (and ICD-10-AM codes) are: </w:t>
            </w:r>
          </w:p>
          <w:p>
            <w:pPr>
              <w:pStyle w:val="ListParagraph"/>
              <w:numPr>
                <w:ilvl w:val="0"/>
                <w:numId w:val="2"/>
              </w:numPr>
            </w:pPr>
            <w:r>
              <w:rPr>
                <w:rStyle w:val="row-content-rich-text"/>
              </w:rPr>
              <w:t xml:space="preserve">Injury and poisoning and certain other consequences of external causes (S00-T98)</w:t>
            </w:r>
          </w:p>
          <w:p>
            <w:pPr>
              <w:pStyle w:val="ListParagraph"/>
              <w:numPr>
                <w:ilvl w:val="0"/>
                <w:numId w:val="2"/>
              </w:numPr>
            </w:pPr>
            <w:r>
              <w:rPr>
                <w:rStyle w:val="row-content-rich-text"/>
              </w:rPr>
              <w:t xml:space="preserve">Diseases of the respiratory system (J00-J99)</w:t>
            </w:r>
          </w:p>
          <w:p>
            <w:pPr>
              <w:pStyle w:val="ListParagraph"/>
              <w:numPr>
                <w:ilvl w:val="0"/>
                <w:numId w:val="2"/>
              </w:numPr>
            </w:pPr>
            <w:r>
              <w:rPr>
                <w:rStyle w:val="row-content-rich-text"/>
              </w:rPr>
              <w:t xml:space="preserve">Diseases of the digestive system (K00-K93)</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Diseases of the circulatory system (I00-I99)</w:t>
            </w:r>
          </w:p>
          <w:p>
            <w:pPr>
              <w:pStyle w:val="ListParagraph"/>
              <w:numPr>
                <w:ilvl w:val="0"/>
                <w:numId w:val="2"/>
              </w:numPr>
            </w:pPr>
            <w:r>
              <w:rPr>
                <w:rStyle w:val="row-content-rich-text"/>
              </w:rPr>
              <w:t xml:space="preserve">Symptoms, signs and abnormal clinical and laboratory findings (R00-R99)</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Other</w:t>
            </w:r>
          </w:p>
          <w:p>
            <w:pPr>
              <w:pStyle w:val="ListParagraph"/>
              <w:numPr>
                <w:ilvl w:val="0"/>
                <w:numId w:val="2"/>
              </w:numPr>
            </w:pPr>
            <w:r>
              <w:rPr>
                <w:rStyle w:val="row-content-rich-text"/>
              </w:rPr>
              <w:t xml:space="preserve">Total (excluding care involving dialysis)</w:t>
            </w:r>
          </w:p>
          <w:p>
            <w:pPr>
              <w:pStyle w:val="ListParagraph"/>
              <w:numPr>
                <w:ilvl w:val="0"/>
                <w:numId w:val="2"/>
              </w:numPr>
            </w:pPr>
            <w:r>
              <w:rPr>
                <w:rStyle w:val="row-content-rich-text"/>
              </w:rPr>
              <w:t xml:space="preserve">Care involving dialysis (Z49)</w:t>
            </w:r>
          </w:p>
          <w:p>
            <w:pPr>
              <w:pStyle w:val="ListParagraph"/>
              <w:numPr>
                <w:ilvl w:val="0"/>
                <w:numId w:val="2"/>
              </w:numPr>
            </w:pPr>
            <w:r>
              <w:rPr>
                <w:rStyle w:val="row-content-rich-tex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percentage: number of separations by principal diagnosis divided by total separations.</w:t>
            </w:r>
          </w:p>
          <w:p>
            <w:pPr/>
            <w:r>
              <w:rPr>
                <w:rStyle w:val="row-content-rich-text"/>
              </w:rPr>
              <w:t xml:space="preserve">Rate: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(public and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2bc1b44e784056">
              <w:r>
                <w:rPr>
                  <w:rStyle w:val="Hyperlink"/>
                </w:rPr>
                <w:t xml:space="preserve">Episode of admitted patient care—admission date, DDMMYYYY</w:t>
              </w:r>
            </w:hyperlink>
          </w:p>
          <w:p>
            <w:r>
              <w:rPr>
                <w:rStyle w:val="row-content"/>
                <w:b/>
              </w:rPr>
              <w:t xml:space="preserve">Data Source</w:t>
            </w:r>
          </w:p>
          <w:p>
            <w:hyperlink w:history="true" r:id="Redfa591f3fbe44a0">
              <w:r>
                <w:rPr>
                  <w:rStyle w:val="Hyperlink"/>
                </w:rPr>
                <w:t xml:space="preserve">National Hospital Morbidity Database (NHMD)</w:t>
              </w:r>
            </w:hyperlink>
          </w:p>
          <w:p>
            <w:r>
              <w:rPr>
                <w:rStyle w:val="row-content"/>
                <w:b/>
              </w:rPr>
              <w:t xml:space="preserve">NMDS / DSS</w:t>
            </w:r>
          </w:p>
          <w:p>
            <w:hyperlink w:history="true" r:id="R8052cb95052f452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3cf585df9844b8">
              <w:r>
                <w:rPr>
                  <w:rStyle w:val="Hyperlink"/>
                </w:rPr>
                <w:t xml:space="preserve">Episode of admitted patient care—separation date, DDMMYYYY</w:t>
              </w:r>
            </w:hyperlink>
          </w:p>
          <w:p>
            <w:r>
              <w:rPr>
                <w:rStyle w:val="row-content"/>
                <w:b/>
              </w:rPr>
              <w:t xml:space="preserve">Data Source</w:t>
            </w:r>
          </w:p>
          <w:p>
            <w:hyperlink w:history="true" r:id="R40063bbaf99d4842">
              <w:r>
                <w:rPr>
                  <w:rStyle w:val="Hyperlink"/>
                </w:rPr>
                <w:t xml:space="preserve">National Hospital Morbidity Database (NHMD)</w:t>
              </w:r>
            </w:hyperlink>
          </w:p>
          <w:p>
            <w:r>
              <w:rPr>
                <w:rStyle w:val="row-content"/>
                <w:b/>
              </w:rPr>
              <w:t xml:space="preserve">NMDS / DSS</w:t>
            </w:r>
          </w:p>
          <w:p>
            <w:hyperlink w:history="true" r:id="R9f34c02e2e114e7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bc39550fb74c0e">
              <w:r>
                <w:rPr>
                  <w:rStyle w:val="Hyperlink"/>
                </w:rPr>
                <w:t xml:space="preserve">Person—estimated resident population of Australia, total people N[N(7)]</w:t>
              </w:r>
            </w:hyperlink>
          </w:p>
          <w:p>
            <w:r>
              <w:rPr>
                <w:rStyle w:val="row-content"/>
                <w:b/>
              </w:rPr>
              <w:t xml:space="preserve">Data Source</w:t>
            </w:r>
          </w:p>
          <w:p>
            <w:hyperlink w:history="true" r:id="R64a1f9cbc21247a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Post-enumeration survey (PES) and assumptions on future fertility, mortality, net migration etc.</w:t>
            </w:r>
          </w:p>
          <w:p>
            <w:r>
              <w:rPr>
                <w:rStyle w:val="row-content"/>
                <w:b/>
                <w:color w:val="000000"/>
              </w:rPr>
              <w:t xml:space="preserve">Data Element / Data Set</w:t>
            </w:r>
          </w:p>
          <w:p>
            <w:hyperlink w:history="true" r:id="R89e721ffa62e4b40">
              <w:r>
                <w:rPr>
                  <w:rStyle w:val="Hyperlink"/>
                </w:rPr>
                <w:t xml:space="preserve">Person—estimated resident population of Australia, total people N[N(7)]</w:t>
              </w:r>
            </w:hyperlink>
          </w:p>
          <w:p>
            <w:r>
              <w:rPr>
                <w:rStyle w:val="row-content"/>
                <w:b/>
              </w:rPr>
              <w:t xml:space="preserve">Data Source</w:t>
            </w:r>
          </w:p>
          <w:p>
            <w:hyperlink w:history="true" r:id="Rdb49f61be5e8457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Indigenous only (crude rates):</w:t>
            </w:r>
          </w:p>
          <w:p>
            <w:pPr>
              <w:pStyle w:val="ListParagraph"/>
              <w:numPr>
                <w:ilvl w:val="0"/>
                <w:numId w:val="3"/>
              </w:numPr>
            </w:pPr>
            <w:r>
              <w:rPr>
                <w:rStyle w:val="row-content-rich-text"/>
              </w:rPr>
              <w:t xml:space="preserve">State and Territory by leading cause of death (ICD-10 chapter level and some sub-chapter level).</w:t>
            </w:r>
          </w:p>
          <w:p>
            <w:pPr>
              <w:pStyle w:val="ListParagraph"/>
              <w:numPr>
                <w:ilvl w:val="0"/>
                <w:numId w:val="3"/>
              </w:numPr>
            </w:pPr>
            <w:r>
              <w:rPr>
                <w:rStyle w:val="row-content-rich-text"/>
              </w:rPr>
              <w:t xml:space="preserve">National by sex and leading cause of death (ICD-10 chapter level and some sub-chapter level).</w:t>
            </w:r>
          </w:p>
          <w:p>
            <w:pPr>
              <w:pStyle w:val="ListParagraph"/>
              <w:numPr>
                <w:ilvl w:val="0"/>
                <w:numId w:val="3"/>
              </w:numPr>
            </w:pPr>
            <w:r>
              <w:rPr>
                <w:rStyle w:val="row-content-rich-text"/>
              </w:rPr>
              <w:t xml:space="preserve">National by sex by excess deaths (ICD-10 chapter level and some sub-chapter level). </w:t>
            </w:r>
          </w:p>
          <w:p>
            <w:pPr>
              <w:spacing w:after="160"/>
            </w:pPr>
            <w:r>
              <w:rPr>
                <w:rStyle w:val="row-content-rich-text"/>
              </w:rPr>
              <w:t xml:space="preserve">For Indigenous and non-Indigenous (age standardised rates):</w:t>
            </w:r>
          </w:p>
          <w:p>
            <w:pPr>
              <w:pStyle w:val="ListParagraph"/>
              <w:numPr>
                <w:ilvl w:val="0"/>
                <w:numId w:val="4"/>
              </w:numPr>
            </w:pPr>
            <w:r>
              <w:rPr>
                <w:rStyle w:val="row-content-rich-text"/>
              </w:rPr>
              <w:t xml:space="preserve">State and territory by leading cause of death (ICD-10 chapter level and some sub-chapter level).</w:t>
            </w:r>
          </w:p>
          <w:p>
            <w:pPr>
              <w:pStyle w:val="ListParagraph"/>
              <w:numPr>
                <w:ilvl w:val="0"/>
                <w:numId w:val="4"/>
              </w:numPr>
            </w:pPr>
            <w:r>
              <w:rPr>
                <w:rStyle w:val="row-content-rich-text"/>
              </w:rPr>
              <w:t xml:space="preserve">National by sex by leading cause of death (ICD-10 chapter level and some sub-chapter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f87fce515b4c95">
              <w:r>
                <w:rPr>
                  <w:rStyle w:val="Hyperlink"/>
                </w:rPr>
                <w:t xml:space="preserve">Person—sex, code N</w:t>
              </w:r>
            </w:hyperlink>
          </w:p>
          <w:p>
            <w:r>
              <w:rPr>
                <w:rStyle w:val="row-content"/>
                <w:b/>
              </w:rPr>
              <w:t xml:space="preserve">Data Source</w:t>
            </w:r>
          </w:p>
          <w:p>
            <w:hyperlink w:history="true" r:id="R44afcfb880bd4f1d">
              <w:r>
                <w:rPr>
                  <w:rStyle w:val="Hyperlink"/>
                </w:rPr>
                <w:t xml:space="preserve">National Hospital Morbidity Database (NHMD)</w:t>
              </w:r>
            </w:hyperlink>
          </w:p>
          <w:p>
            <w:r>
              <w:rPr>
                <w:rStyle w:val="row-content"/>
                <w:b/>
              </w:rPr>
              <w:t xml:space="preserve">NMDS / DSS</w:t>
            </w:r>
          </w:p>
          <w:p>
            <w:hyperlink w:history="true" r:id="R3372595f08f7409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7bfa44d59ef45ab">
              <w:r>
                <w:rPr>
                  <w:rStyle w:val="Hyperlink"/>
                </w:rPr>
                <w:t xml:space="preserve">Person—Indigenous status, code N</w:t>
              </w:r>
            </w:hyperlink>
          </w:p>
          <w:p>
            <w:r>
              <w:rPr>
                <w:rStyle w:val="row-content"/>
                <w:b/>
              </w:rPr>
              <w:t xml:space="preserve">Data Source</w:t>
            </w:r>
          </w:p>
          <w:p>
            <w:hyperlink w:history="true" r:id="R6724e80d1b984fce">
              <w:r>
                <w:rPr>
                  <w:rStyle w:val="Hyperlink"/>
                </w:rPr>
                <w:t xml:space="preserve">National Hospital Morbidity Database (NHMD)</w:t>
              </w:r>
            </w:hyperlink>
          </w:p>
          <w:p>
            <w:r>
              <w:rPr>
                <w:rStyle w:val="row-content"/>
                <w:b/>
              </w:rPr>
              <w:t xml:space="preserve">NMDS / DSS</w:t>
            </w:r>
          </w:p>
          <w:p>
            <w:hyperlink w:history="true" r:id="Rbbf24a944108412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83a5fc726434c68">
              <w:r>
                <w:rPr>
                  <w:rStyle w:val="Hyperlink"/>
                </w:rPr>
                <w:t xml:space="preserve">Episode of care—principal diagnosis, code (ICD-10-AM 6th edn) ANN{.N[N]}</w:t>
              </w:r>
            </w:hyperlink>
          </w:p>
          <w:p>
            <w:r>
              <w:rPr>
                <w:rStyle w:val="row-content"/>
                <w:b/>
              </w:rPr>
              <w:t xml:space="preserve">Data Source</w:t>
            </w:r>
          </w:p>
          <w:p>
            <w:hyperlink w:history="true" r:id="Rdd91f2f5b9094a0d">
              <w:r>
                <w:rPr>
                  <w:rStyle w:val="Hyperlink"/>
                </w:rPr>
                <w:t xml:space="preserve">National Hospital Morbidity Database (NHMD)</w:t>
              </w:r>
            </w:hyperlink>
          </w:p>
          <w:p>
            <w:r>
              <w:rPr>
                <w:rStyle w:val="row-content"/>
                <w:b/>
              </w:rPr>
              <w:t xml:space="preserve">NMDS / DSS</w:t>
            </w:r>
          </w:p>
          <w:p>
            <w:hyperlink w:history="true" r:id="Rf8f9a4da7e61469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969f1ecba6940d9">
              <w:r>
                <w:rPr>
                  <w:rStyle w:val="Hyperlink"/>
                </w:rPr>
                <w:t xml:space="preserve">Person—area of usual residence, geographical location code (ASGC 2007) NNNNN</w:t>
              </w:r>
            </w:hyperlink>
          </w:p>
          <w:p>
            <w:r>
              <w:rPr>
                <w:rStyle w:val="row-content"/>
                <w:b/>
              </w:rPr>
              <w:t xml:space="preserve">Data Source</w:t>
            </w:r>
          </w:p>
          <w:p>
            <w:hyperlink w:history="true" r:id="R56bd3e2929c141b3">
              <w:r>
                <w:rPr>
                  <w:rStyle w:val="Hyperlink"/>
                </w:rPr>
                <w:t xml:space="preserve">National Hospital Morbidity Database (NHMD)</w:t>
              </w:r>
            </w:hyperlink>
          </w:p>
          <w:p>
            <w:r>
              <w:rPr>
                <w:rStyle w:val="row-content"/>
                <w:b/>
              </w:rPr>
              <w:t xml:space="preserve">NMDS / DSS</w:t>
            </w:r>
          </w:p>
          <w:p>
            <w:hyperlink w:history="true" r:id="R5e783dbd2606477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2008-09.</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hospitalisations of Indigenous persons: NSW, Vic, Qld, WA, SA &amp; NT public hospitals. Tas/ACT data should be reported with caveats. National rates should include these six states and territories only.</w:t>
            </w:r>
          </w:p>
          <w:p>
            <w:pPr>
              <w:spacing w:after="160"/>
            </w:pPr>
            <w:r>
              <w:rPr>
                <w:rStyle w:val="row-content-rich-text"/>
              </w:rPr>
              <w:t xml:space="preserve">Rates are directly age standardised to the 2001 Australian ERP.</w:t>
            </w:r>
          </w:p>
          <w:p>
            <w:pPr>
              <w:spacing w:after="160"/>
            </w:pPr>
            <w:r>
              <w:rPr>
                <w:rStyle w:val="row-content-rich-text"/>
              </w:rPr>
              <w:t xml:space="preserve">National estimates adjusted for under-identification will be reported for leading principal diagnoses.</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770df6f4f8498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53cee238dc41b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5f2babb63014e7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26818fb49e24bf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7de638e08074ea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6804ed2b4e34cb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8befb31ea7444f">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0de01dcccf4146ef">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ca21b279e9bd4628">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21b880d6c1b04cf3">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ae091a4231114241">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97c1c43b28334b8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aff609f94e040c7">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4e989ddffff945b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1f076a925ee4e82">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5c7f4e6e304346d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8aa35b6de9f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aabc990f1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a35b6de9f4906" /><Relationship Type="http://schemas.openxmlformats.org/officeDocument/2006/relationships/header" Target="/word/header1.xml" Id="R9c26676456b94dfd" /><Relationship Type="http://schemas.openxmlformats.org/officeDocument/2006/relationships/settings" Target="/word/settings.xml" Id="Rd475e969af284b7e" /><Relationship Type="http://schemas.openxmlformats.org/officeDocument/2006/relationships/styles" Target="/word/styles.xml" Id="R49664e860eb24442" /><Relationship Type="http://schemas.openxmlformats.org/officeDocument/2006/relationships/hyperlink" Target="https://meteor.aihw.gov.au/RegistrationAuthority/6" TargetMode="External" Id="R67424efd5efa41c3" /><Relationship Type="http://schemas.openxmlformats.org/officeDocument/2006/relationships/hyperlink" Target="https://meteor.aihw.gov.au/content/425730" TargetMode="External" Id="Rca0b62c62e574306" /><Relationship Type="http://schemas.openxmlformats.org/officeDocument/2006/relationships/hyperlink" Target="https://meteor.aihw.gov.au/RegistrationAuthority/6" TargetMode="External" Id="Rf47b657693b44294" /><Relationship Type="http://schemas.openxmlformats.org/officeDocument/2006/relationships/hyperlink" Target="https://meteor.aihw.gov.au/content/396115" TargetMode="External" Id="Rbc45b125c7364a40" /><Relationship Type="http://schemas.openxmlformats.org/officeDocument/2006/relationships/hyperlink" Target="https://meteor.aihw.gov.au/RegistrationAuthority/6" TargetMode="External" Id="R383b784f47674d92" /><Relationship Type="http://schemas.openxmlformats.org/officeDocument/2006/relationships/numbering" Target="/word/numbering.xml" Id="R36beb10592544622" /><Relationship Type="http://schemas.openxmlformats.org/officeDocument/2006/relationships/hyperlink" Target="https://meteor.aihw.gov.au/content/269967" TargetMode="External" Id="Rb22bc1b44e784056" /><Relationship Type="http://schemas.openxmlformats.org/officeDocument/2006/relationships/hyperlink" Target="https://meteor.aihw.gov.au/content/394352" TargetMode="External" Id="Redfa591f3fbe44a0" /><Relationship Type="http://schemas.openxmlformats.org/officeDocument/2006/relationships/hyperlink" Target="https://meteor.aihw.gov.au/content/361679" TargetMode="External" Id="R8052cb95052f452e" /><Relationship Type="http://schemas.openxmlformats.org/officeDocument/2006/relationships/hyperlink" Target="https://meteor.aihw.gov.au/content/270025" TargetMode="External" Id="R923cf585df9844b8" /><Relationship Type="http://schemas.openxmlformats.org/officeDocument/2006/relationships/hyperlink" Target="https://meteor.aihw.gov.au/content/394352" TargetMode="External" Id="R40063bbaf99d4842" /><Relationship Type="http://schemas.openxmlformats.org/officeDocument/2006/relationships/hyperlink" Target="https://meteor.aihw.gov.au/content/361679" TargetMode="External" Id="R9f34c02e2e114e73" /><Relationship Type="http://schemas.openxmlformats.org/officeDocument/2006/relationships/hyperlink" Target="https://meteor.aihw.gov.au/content/388656" TargetMode="External" Id="Ra7bc39550fb74c0e" /><Relationship Type="http://schemas.openxmlformats.org/officeDocument/2006/relationships/hyperlink" Target="https://meteor.aihw.gov.au/content/393625" TargetMode="External" Id="R64a1f9cbc21247ae" /><Relationship Type="http://schemas.openxmlformats.org/officeDocument/2006/relationships/hyperlink" Target="https://meteor.aihw.gov.au/content/388656" TargetMode="External" Id="R89e721ffa62e4b40" /><Relationship Type="http://schemas.openxmlformats.org/officeDocument/2006/relationships/hyperlink" Target="https://meteor.aihw.gov.au/content/394092" TargetMode="External" Id="Rdb49f61be5e84573" /><Relationship Type="http://schemas.openxmlformats.org/officeDocument/2006/relationships/hyperlink" Target="https://meteor.aihw.gov.au/content/287316" TargetMode="External" Id="Rebf87fce515b4c95" /><Relationship Type="http://schemas.openxmlformats.org/officeDocument/2006/relationships/hyperlink" Target="https://meteor.aihw.gov.au/content/394352" TargetMode="External" Id="R44afcfb880bd4f1d" /><Relationship Type="http://schemas.openxmlformats.org/officeDocument/2006/relationships/hyperlink" Target="https://meteor.aihw.gov.au/content/361679" TargetMode="External" Id="R3372595f08f7409f" /><Relationship Type="http://schemas.openxmlformats.org/officeDocument/2006/relationships/hyperlink" Target="https://meteor.aihw.gov.au/content/291036" TargetMode="External" Id="R77bfa44d59ef45ab" /><Relationship Type="http://schemas.openxmlformats.org/officeDocument/2006/relationships/hyperlink" Target="https://meteor.aihw.gov.au/content/394352" TargetMode="External" Id="R6724e80d1b984fce" /><Relationship Type="http://schemas.openxmlformats.org/officeDocument/2006/relationships/hyperlink" Target="https://meteor.aihw.gov.au/content/361679" TargetMode="External" Id="Rbbf24a9441084120" /><Relationship Type="http://schemas.openxmlformats.org/officeDocument/2006/relationships/hyperlink" Target="https://meteor.aihw.gov.au/content/361034" TargetMode="External" Id="Rf83a5fc726434c68" /><Relationship Type="http://schemas.openxmlformats.org/officeDocument/2006/relationships/hyperlink" Target="https://meteor.aihw.gov.au/content/394352" TargetMode="External" Id="Rdd91f2f5b9094a0d" /><Relationship Type="http://schemas.openxmlformats.org/officeDocument/2006/relationships/hyperlink" Target="https://meteor.aihw.gov.au/content/361679" TargetMode="External" Id="Rf8f9a4da7e614692" /><Relationship Type="http://schemas.openxmlformats.org/officeDocument/2006/relationships/hyperlink" Target="https://meteor.aihw.gov.au/content/362291" TargetMode="External" Id="Ra969f1ecba6940d9" /><Relationship Type="http://schemas.openxmlformats.org/officeDocument/2006/relationships/hyperlink" Target="https://meteor.aihw.gov.au/content/394352" TargetMode="External" Id="R56bd3e2929c141b3" /><Relationship Type="http://schemas.openxmlformats.org/officeDocument/2006/relationships/hyperlink" Target="https://meteor.aihw.gov.au/content/361679" TargetMode="External" Id="R5e783dbd26064777" /><Relationship Type="http://schemas.openxmlformats.org/officeDocument/2006/relationships/hyperlink" Target="https://meteor.aihw.gov.au/content/410650" TargetMode="External" Id="R8b770df6f4f84984" /><Relationship Type="http://schemas.openxmlformats.org/officeDocument/2006/relationships/hyperlink" Target="https://meteor.aihw.gov.au/content/393625" TargetMode="External" Id="Ra553cee238dc41b1" /><Relationship Type="http://schemas.openxmlformats.org/officeDocument/2006/relationships/hyperlink" Target="https://meteor.aihw.gov.au/content/449216" TargetMode="External" Id="R75f2babb63014e78" /><Relationship Type="http://schemas.openxmlformats.org/officeDocument/2006/relationships/hyperlink" Target="https://meteor.aihw.gov.au/content/394352" TargetMode="External" Id="R026818fb49e24bfa" /><Relationship Type="http://schemas.openxmlformats.org/officeDocument/2006/relationships/hyperlink" Target="https://meteor.aihw.gov.au/content/394092" TargetMode="External" Id="Ra7de638e08074ead" /><Relationship Type="http://schemas.openxmlformats.org/officeDocument/2006/relationships/hyperlink" Target="https://meteor.aihw.gov.au/content/449223" TargetMode="External" Id="Re6804ed2b4e34cbd" /><Relationship Type="http://schemas.openxmlformats.org/officeDocument/2006/relationships/hyperlink" Target="https://meteor.aihw.gov.au/content/396194" TargetMode="External" Id="Rc08befb31ea7444f" /><Relationship Type="http://schemas.openxmlformats.org/officeDocument/2006/relationships/hyperlink" Target="https://meteor.aihw.gov.au/RegistrationAuthority/1" TargetMode="External" Id="R0de01dcccf4146ef" /><Relationship Type="http://schemas.openxmlformats.org/officeDocument/2006/relationships/hyperlink" Target="https://meteor.aihw.gov.au/content/438499" TargetMode="External" Id="Rca21b279e9bd4628" /><Relationship Type="http://schemas.openxmlformats.org/officeDocument/2006/relationships/hyperlink" Target="https://meteor.aihw.gov.au/RegistrationAuthority/6" TargetMode="External" Id="R21b880d6c1b04cf3" /><Relationship Type="http://schemas.openxmlformats.org/officeDocument/2006/relationships/hyperlink" Target="https://meteor.aihw.gov.au/content/421649" TargetMode="External" Id="Rae091a4231114241" /><Relationship Type="http://schemas.openxmlformats.org/officeDocument/2006/relationships/hyperlink" Target="https://meteor.aihw.gov.au/RegistrationAuthority/12" TargetMode="External" Id="R97c1c43b28334b85" /><Relationship Type="http://schemas.openxmlformats.org/officeDocument/2006/relationships/hyperlink" Target="https://meteor.aihw.gov.au/content/421587" TargetMode="External" Id="R8aff609f94e040c7" /><Relationship Type="http://schemas.openxmlformats.org/officeDocument/2006/relationships/hyperlink" Target="https://meteor.aihw.gov.au/RegistrationAuthority/12" TargetMode="External" Id="R4e989ddffff945bf" /><Relationship Type="http://schemas.openxmlformats.org/officeDocument/2006/relationships/hyperlink" Target="https://meteor.aihw.gov.au/content/435901" TargetMode="External" Id="Rd1f076a925ee4e82" /><Relationship Type="http://schemas.openxmlformats.org/officeDocument/2006/relationships/hyperlink" Target="https://meteor.aihw.gov.au/RegistrationAuthority/12" TargetMode="External" Id="R5c7f4e6e304346d5" /></Relationships>
</file>

<file path=word/_rels/header1.xml.rels>&#65279;<?xml version="1.0" encoding="utf-8"?><Relationships xmlns="http://schemas.openxmlformats.org/package/2006/relationships"><Relationship Type="http://schemas.openxmlformats.org/officeDocument/2006/relationships/image" Target="/media/image.png" Id="Ra5caabc990f14c06" /></Relationships>
</file>