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7b8ea662ef46a0"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Histopathological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183e63d2e468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histopathological grade or differentiation in a person with cancer,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ef03cfa36e42b4">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a5b500f8c04f0c">
              <w:r>
                <w:rPr>
                  <w:rStyle w:val="Hyperlink"/>
                </w:rPr>
                <w:t xml:space="preserve">Histopathological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 Low grade; well differentiated, differentiated, 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 Intermediate grade, moderately differentiated, moderately well differentiated, intermediate differentiation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 High grade, poorly differentiated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 Undifferentiated, anaplastic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Grade or differentiation not determined, not stated or 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Histopathological grade or differentiation describes how little the tumour resembles the normal tissue from which it arose.</w:t>
            </w:r>
          </w:p>
          <w:p>
            <w:pPr>
              <w:spacing w:after="160"/>
            </w:pPr>
            <w:r>
              <w:rPr>
                <w:rStyle w:val="row-content-rich-text"/>
              </w:rPr>
              <w:t xml:space="preserve">Only malignant tumours are graded and only one code can be recorded.</w:t>
            </w:r>
          </w:p>
          <w:p>
            <w:pPr>
              <w:spacing w:after="160"/>
            </w:pPr>
            <w:r>
              <w:rPr>
                <w:rStyle w:val="row-content-rich-text"/>
              </w:rPr>
              <w:t xml:space="preserve">When more than one grade is documented for the primary tumour within the same specimen report, use the highest grade. For example, if grade 2-3 is documented, record the grade as 3.</w:t>
            </w:r>
          </w:p>
          <w:p>
            <w:pPr>
              <w:spacing w:after="160"/>
            </w:pPr>
            <w:r>
              <w:rPr>
                <w:rStyle w:val="row-content-rich-text"/>
              </w:rPr>
              <w:t xml:space="preserve">If the grades differ on multiple pathology reports for the same tumour, use the value from the larger specimen (for example, the grade from a surgical excision specimen would be used over the grade from a specimen from a diagnostic biopsy).</w:t>
            </w:r>
          </w:p>
          <w:p>
            <w:pPr>
              <w:spacing w:after="160"/>
            </w:pPr>
            <w:r>
              <w:rPr>
                <w:rStyle w:val="row-content-rich-text"/>
              </w:rPr>
              <w:t xml:space="preserve">Breast cancer coding rules:</w:t>
            </w:r>
          </w:p>
          <w:p>
            <w:pPr>
              <w:spacing w:after="160"/>
            </w:pPr>
            <w:r>
              <w:rPr>
                <w:rStyle w:val="row-content-rich-text"/>
              </w:rPr>
              <w:t xml:space="preserve">Use the Nottingham grade (Elston-Ellis modification of Bloom-Richardson grading system). This classification only uses grades 1-3, 9.</w:t>
            </w:r>
          </w:p>
          <w:p>
            <w:pPr/>
            <w:r>
              <w:rPr>
                <w:rStyle w:val="row-content-rich-text"/>
              </w:rPr>
              <w:t xml:space="preserve">For an invasive tumour with an in situ component, record the grade for the invasive component only. If the grade of the invasive component is not reported, record the grade as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registry use:</w:t>
            </w:r>
          </w:p>
          <w:p>
            <w:pPr>
              <w:spacing w:after="160"/>
            </w:pPr>
            <w:r>
              <w:rPr>
                <w:rStyle w:val="row-content-rich-text"/>
              </w:rPr>
              <w:t xml:space="preserve">Collection of this data item should only be from notification and pathology reports relating to initial diagnosis and not for recurrent or metastatic disease.</w:t>
            </w:r>
          </w:p>
          <w:p>
            <w:pPr/>
            <w:r>
              <w:rPr>
                <w:rStyle w:val="row-content-rich-text"/>
              </w:rPr>
              <w:t xml:space="preserve">Only malignant tumours are graded.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Fritz A et al. 2000. International Classification of Diseases for Oncology, Third edition (ICD-O), 3rd edition. Geneva: World Health Organization</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2007. Bethesda: 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25921601324155">
              <w:r>
                <w:rPr>
                  <w:rStyle w:val="Hyperlink"/>
                </w:rPr>
                <w:t xml:space="preserve">Person with cancer—histopathological grade, code N</w:t>
              </w:r>
            </w:hyperlink>
          </w:p>
          <w:p>
            <w:pPr>
              <w:spacing w:before="0" w:after="0"/>
            </w:pPr>
            <w:r>
              <w:rPr>
                <w:rStyle w:val="row-content"/>
                <w:color w:val="244061"/>
              </w:rPr>
              <w:t xml:space="preserve">       </w:t>
            </w:r>
            <w:hyperlink w:history="true" r:id="R7060a5eaa3224e20">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7001bd62394b9d">
              <w:r>
                <w:rPr>
                  <w:rStyle w:val="Hyperlink"/>
                </w:rPr>
                <w:t xml:space="preserve">Breast cancer (cancer registries) NBPDS</w:t>
              </w:r>
            </w:hyperlink>
          </w:p>
          <w:p>
            <w:pPr>
              <w:spacing w:before="0" w:after="0"/>
            </w:pPr>
            <w:r>
              <w:rPr>
                <w:rStyle w:val="row-content"/>
                <w:color w:val="244061"/>
              </w:rPr>
              <w:t xml:space="preserve">       </w:t>
            </w:r>
            <w:hyperlink w:history="true" r:id="R534c5cc2f5774744">
              <w:r>
                <w:rPr>
                  <w:rStyle w:val="Hyperlink"/>
                  <w:color w:val="244061"/>
                </w:rPr>
                <w:t xml:space="preserve">Health</w:t>
              </w:r>
            </w:hyperlink>
            <w:r>
              <w:rPr>
                <w:rStyle w:val="row-content"/>
                <w:color w:val="244061"/>
              </w:rPr>
              <w:t xml:space="preserve">, Standard 01/09/2012</w:t>
            </w:r>
          </w:p>
          <w:p>
            <w:r>
              <w:rPr>
                <w:rStyle w:val="row-content"/>
                <w:b/>
                <w:i/>
              </w:rPr>
              <w:t xml:space="preserve">DSS specific information: </w:t>
            </w:r>
          </w:p>
          <w:p>
            <w:r>
              <w:rPr>
                <w:rStyle w:val="row-content"/>
              </w:rPr>
              <w:t xml:space="preserve">Breast cancer coding rules:</w:t>
            </w:r>
          </w:p>
          <w:p>
            <w:r>
              <w:rPr>
                <w:rStyle w:val="row-content"/>
              </w:rPr>
              <w:t xml:space="preserve">Use the Nottingham grade (Elston-Ellis modification of Bloom-Richardson grading system). This classification only uses grades 1-3, 9.</w:t>
            </w:r>
          </w:p>
          <w:p>
            <w:r>
              <w:rPr>
                <w:rStyle w:val="row-content"/>
              </w:rPr>
              <w:t xml:space="preserve">For an invasive tumour with an in situ component, record the grade for the invasive component only. If the grade of the invasive component is not reported, record the grade as unknown.</w:t>
            </w:r>
          </w:p>
          <w:p>
            <w:r>
              <w:br/>
            </w:r>
            <w:r>
              <w:br/>
            </w:r>
            <w:hyperlink w:history="true" r:id="Rf25d200afb87468a">
              <w:r>
                <w:rPr>
                  <w:rStyle w:val="Hyperlink"/>
                </w:rPr>
                <w:t xml:space="preserve">Cancer (clinical) DSS</w:t>
              </w:r>
            </w:hyperlink>
          </w:p>
          <w:p>
            <w:pPr>
              <w:spacing w:before="0" w:after="0"/>
            </w:pPr>
            <w:r>
              <w:rPr>
                <w:rStyle w:val="row-content"/>
                <w:color w:val="244061"/>
              </w:rPr>
              <w:t xml:space="preserve">       </w:t>
            </w:r>
            <w:hyperlink w:history="true" r:id="R5222a13ab8734e24">
              <w:r>
                <w:rPr>
                  <w:rStyle w:val="Hyperlink"/>
                  <w:color w:val="244061"/>
                </w:rPr>
                <w:t xml:space="preserve">Health</w:t>
              </w:r>
            </w:hyperlink>
            <w:r>
              <w:rPr>
                <w:rStyle w:val="row-content"/>
                <w:color w:val="244061"/>
              </w:rPr>
              <w:t xml:space="preserve">, Superseded 08/05/2014</w:t>
            </w:r>
          </w:p>
          <w:p>
            <w:r>
              <w:br/>
            </w:r>
            <w:hyperlink w:history="true" r:id="Re54089a3fa1d416d">
              <w:r>
                <w:rPr>
                  <w:rStyle w:val="Hyperlink"/>
                </w:rPr>
                <w:t xml:space="preserve">Cancer (clinical) DSS</w:t>
              </w:r>
            </w:hyperlink>
          </w:p>
          <w:p>
            <w:pPr>
              <w:spacing w:before="0" w:after="0"/>
            </w:pPr>
            <w:r>
              <w:rPr>
                <w:rStyle w:val="row-content"/>
                <w:color w:val="244061"/>
              </w:rPr>
              <w:t xml:space="preserve">       </w:t>
            </w:r>
            <w:hyperlink w:history="true" r:id="R745df6407edc4ed7">
              <w:r>
                <w:rPr>
                  <w:rStyle w:val="Hyperlink"/>
                  <w:color w:val="244061"/>
                </w:rPr>
                <w:t xml:space="preserve">Health</w:t>
              </w:r>
            </w:hyperlink>
            <w:r>
              <w:rPr>
                <w:rStyle w:val="row-content"/>
                <w:color w:val="244061"/>
              </w:rPr>
              <w:t xml:space="preserve">, Superseded 14/05/2015</w:t>
            </w:r>
          </w:p>
          <w:p>
            <w:r>
              <w:br/>
            </w:r>
            <w:hyperlink w:history="true" r:id="Rb669e8a1937447fb">
              <w:r>
                <w:rPr>
                  <w:rStyle w:val="Hyperlink"/>
                </w:rPr>
                <w:t xml:space="preserve">Cancer (clinical) NBPDS</w:t>
              </w:r>
            </w:hyperlink>
          </w:p>
          <w:p>
            <w:pPr>
              <w:spacing w:before="0" w:after="0"/>
            </w:pPr>
            <w:r>
              <w:rPr>
                <w:rStyle w:val="row-content"/>
                <w:color w:val="244061"/>
              </w:rPr>
              <w:t xml:space="preserve">       </w:t>
            </w:r>
            <w:hyperlink w:history="true" r:id="R4602832c4c5045e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904bca0b99b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422555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49570f7aa1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04bca0b99b417b" /><Relationship Type="http://schemas.openxmlformats.org/officeDocument/2006/relationships/header" Target="/word/header1.xml" Id="R34d0b1bc7a524843" /><Relationship Type="http://schemas.openxmlformats.org/officeDocument/2006/relationships/settings" Target="/word/settings.xml" Id="Rbc0ec516387d455a" /><Relationship Type="http://schemas.openxmlformats.org/officeDocument/2006/relationships/styles" Target="/word/styles.xml" Id="Re6f2063dee6842c4" /><Relationship Type="http://schemas.openxmlformats.org/officeDocument/2006/relationships/hyperlink" Target="https://meteor.aihw.gov.au/RegistrationAuthority/12" TargetMode="External" Id="Rffc183e63d2e4685" /><Relationship Type="http://schemas.openxmlformats.org/officeDocument/2006/relationships/hyperlink" Target="https://meteor.aihw.gov.au/content/288657" TargetMode="External" Id="R1fef03cfa36e42b4" /><Relationship Type="http://schemas.openxmlformats.org/officeDocument/2006/relationships/hyperlink" Target="https://meteor.aihw.gov.au/content/457191" TargetMode="External" Id="Rdfa5b500f8c04f0c" /><Relationship Type="http://schemas.openxmlformats.org/officeDocument/2006/relationships/hyperlink" Target="https://meteor.aihw.gov.au/content/370019" TargetMode="External" Id="R4c25921601324155" /><Relationship Type="http://schemas.openxmlformats.org/officeDocument/2006/relationships/hyperlink" Target="https://meteor.aihw.gov.au/RegistrationAuthority/12" TargetMode="External" Id="R7060a5eaa3224e20" /><Relationship Type="http://schemas.openxmlformats.org/officeDocument/2006/relationships/hyperlink" Target="https://meteor.aihw.gov.au/content/491771" TargetMode="External" Id="R997001bd62394b9d" /><Relationship Type="http://schemas.openxmlformats.org/officeDocument/2006/relationships/hyperlink" Target="https://meteor.aihw.gov.au/RegistrationAuthority/12" TargetMode="External" Id="R534c5cc2f5774744" /><Relationship Type="http://schemas.openxmlformats.org/officeDocument/2006/relationships/hyperlink" Target="https://meteor.aihw.gov.au/content/394731" TargetMode="External" Id="Rf25d200afb87468a" /><Relationship Type="http://schemas.openxmlformats.org/officeDocument/2006/relationships/hyperlink" Target="https://meteor.aihw.gov.au/RegistrationAuthority/12" TargetMode="External" Id="R5222a13ab8734e24" /><Relationship Type="http://schemas.openxmlformats.org/officeDocument/2006/relationships/hyperlink" Target="https://meteor.aihw.gov.au/content/560813" TargetMode="External" Id="Re54089a3fa1d416d" /><Relationship Type="http://schemas.openxmlformats.org/officeDocument/2006/relationships/hyperlink" Target="https://meteor.aihw.gov.au/RegistrationAuthority/12" TargetMode="External" Id="R745df6407edc4ed7" /><Relationship Type="http://schemas.openxmlformats.org/officeDocument/2006/relationships/hyperlink" Target="https://meteor.aihw.gov.au/content/597861" TargetMode="External" Id="Rb669e8a1937447fb" /><Relationship Type="http://schemas.openxmlformats.org/officeDocument/2006/relationships/hyperlink" Target="https://meteor.aihw.gov.au/RegistrationAuthority/12" TargetMode="External" Id="R4602832c4c5045e2" /></Relationships>
</file>

<file path=word/_rels/header1.xml.rels>&#65279;<?xml version="1.0" encoding="utf-8"?><Relationships xmlns="http://schemas.openxmlformats.org/package/2006/relationships"><Relationship Type="http://schemas.openxmlformats.org/officeDocument/2006/relationships/image" Target="/media/image.png" Id="Rd249570f7aa14b5a" /></Relationships>
</file>