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7daf75ebc4488" /></Relationships>
</file>

<file path=word/document.xml><?xml version="1.0" encoding="utf-8"?>
<w:document xmlns:r="http://schemas.openxmlformats.org/officeDocument/2006/relationships" xmlns:w="http://schemas.openxmlformats.org/wordprocessingml/2006/main">
  <w:body>
    <w:p>
      <w:pPr>
        <w:pStyle w:val="Title"/>
      </w:pPr>
      <w:r>
        <w:t>Patient—extent of harm from a health-care incident,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harm from a health-care incident,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harm from a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loss from a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7f934141847b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overall harm, in terms of impairment, activity limitation or participation restriction, to the patient from a health-care incident,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1309af03944eb0">
              <w:r>
                <w:rPr>
                  <w:rStyle w:val="Hyperlink"/>
                </w:rPr>
                <w:t xml:space="preserve">Patient—extent of harm from a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f24d03ded24e3c">
              <w:r>
                <w:rPr>
                  <w:rStyle w:val="Hyperlink"/>
                </w:rPr>
                <w:t xml:space="preserve">Extent of harm from a health-care incident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Mild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Moderate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Severe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Mild injury</w:t>
            </w:r>
          </w:p>
          <w:p>
            <w:pPr>
              <w:spacing w:after="160"/>
            </w:pPr>
            <w:r>
              <w:rPr>
                <w:rStyle w:val="row-content-rich-text"/>
              </w:rPr>
              <w:t xml:space="preserve">'Mild injury' includes situations where the harm results in a mild variation (up to 25%) from accepted population standards in the status of the affected body function or structures.</w:t>
            </w:r>
          </w:p>
          <w:p>
            <w:pPr>
              <w:spacing w:after="160"/>
            </w:pPr>
            <w:r>
              <w:rPr>
                <w:rStyle w:val="row-content-rich-text"/>
              </w:rPr>
              <w:t xml:space="preserve">'Mild' refers to an intensity that a person can tolerate, and is unlikely to be permanent. This category could include, for example, the situation where a patient has suffered mild psychological harm as a result of a misdiagnosis by a general practitioner.</w:t>
            </w:r>
          </w:p>
          <w:p>
            <w:pPr>
              <w:spacing w:after="160"/>
            </w:pPr>
            <w:r>
              <w:rPr>
                <w:rStyle w:val="row-content-rich-text"/>
              </w:rPr>
              <w:t xml:space="preserve">CODE 8   Moderate injury</w:t>
            </w:r>
          </w:p>
          <w:p>
            <w:pPr>
              <w:spacing w:after="160"/>
            </w:pPr>
            <w:r>
              <w:rPr>
                <w:rStyle w:val="row-content-rich-text"/>
              </w:rPr>
              <w:t xml:space="preserve">'Moderate injury' includes situations where the harm results in a moderate variation (between 25–50%) from accepted population standards in the status of the affected body function or structures.</w:t>
            </w:r>
          </w:p>
          <w:p>
            <w:pPr>
              <w:spacing w:after="160"/>
            </w:pPr>
            <w:r>
              <w:rPr>
                <w:rStyle w:val="row-content-rich-text"/>
              </w:rPr>
              <w:t xml:space="preserve">'Moderate' refers to a problem with an intensity which interferes with the person’s day to day life, and which may be permanent. This may include, for example, a situation where a patient is administered a medication that was clearly contraindicated, which results in a moderate impairment of hepatic function. </w:t>
            </w:r>
          </w:p>
          <w:p>
            <w:pPr>
              <w:spacing w:after="160"/>
            </w:pPr>
            <w:r>
              <w:rPr>
                <w:rStyle w:val="row-content-rich-text"/>
              </w:rPr>
              <w:t xml:space="preserve">CODE 9   Severe injury</w:t>
            </w:r>
          </w:p>
          <w:p>
            <w:pPr>
              <w:spacing w:after="160"/>
            </w:pPr>
            <w:r>
              <w:rPr>
                <w:rStyle w:val="row-content-rich-text"/>
              </w:rPr>
              <w:t xml:space="preserve">'Severe injury' includes situations where the harm results in a severe variation (more than 50%) from accepted population standards in the status of the affected body function or structures.</w:t>
            </w:r>
          </w:p>
          <w:p>
            <w:pPr>
              <w:spacing w:after="160"/>
            </w:pPr>
            <w:r>
              <w:rPr>
                <w:rStyle w:val="row-content-rich-text"/>
              </w:rPr>
              <w:t xml:space="preserve">'Severe' refers to a problem that has an intensity that partially or completely disrupts the person’s day to day life, and which is likely to be permanent. This could include, for example, a situation where an accidental cut, puncture or perforation which occurred during surgery leads to a severe permanent impairment of lower limb function.</w:t>
            </w:r>
          </w:p>
          <w:p>
            <w:pPr>
              <w:spacing w:after="160"/>
            </w:pPr>
            <w:r>
              <w:rPr>
                <w:rStyle w:val="row-content-rich-text"/>
              </w:rPr>
              <w:t xml:space="preserve">In cases where the patient has pre-existing impairments, activity limitations and/or participation restrictions, the coding category chosen should reflect only the additional harm or disability due to the incident, over and above any pre-existing conditions.</w:t>
            </w:r>
          </w:p>
          <w:p>
            <w:pPr>
              <w:spacing w:after="160"/>
            </w:pPr>
            <w:r>
              <w:rPr>
                <w:rStyle w:val="row-content-rich-text"/>
              </w:rPr>
              <w:t xml:space="preserve">CODE 97   Not applicable (no body function or structure affected)</w:t>
            </w:r>
          </w:p>
          <w:p>
            <w:pPr>
              <w:spacing w:after="160"/>
            </w:pPr>
            <w:r>
              <w:rPr>
                <w:rStyle w:val="row-content-rich-text"/>
              </w:rPr>
              <w:t xml:space="preserve">'Not applicable (no body function or structure affected)' includes cases where there is no consequent harm to body functions or structures; for example, failed sterilisation procedure or awareness during a procedure due to anaesthetic failure.</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This code should also be used where the medical indemnity claim is for fetal distress and the outcome for the child will not be known until some future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categories were developed with reference to the WHO (2003) 'Activity Limitations and Participation Restriction' definitions (ICF Version 2.1a) for 'Mild difficulty', 'Moderate difficulty', 'Severe difficulty' and 'Complete difficulty'.</w:t>
            </w:r>
          </w:p>
          <w:p>
            <w:pPr/>
            <w:r>
              <w:rPr>
                <w:rStyle w:val="row-content-rich-text"/>
              </w:rPr>
              <w:t xml:space="preserve">The categories in this value domain align with the categories in the Australian Prudential Regulation Authority (2006) National Claims and Policies Database data item 17 'Severity of loss'.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db28b19e2f40b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APRA (Australian Prudential Regulation Authority) 2006. Data Specifications National Claims and Policies Database document number 3.1. Canberra: APRA</w:t>
            </w:r>
          </w:p>
          <w:p>
            <w:pPr/>
            <w:r>
              <w:rPr>
                <w:rStyle w:val="row-content-rich-text"/>
              </w:rPr>
              <w:t xml:space="preserve">WHO (World Health Organization) 2003.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7a6369cb164e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a5ef31766a4287">
              <w:r>
                <w:rPr>
                  <w:rStyle w:val="Hyperlink"/>
                </w:rPr>
                <w:t xml:space="preserve">Medical indemnity DSS 2012-14</w:t>
              </w:r>
            </w:hyperlink>
          </w:p>
          <w:p>
            <w:pPr>
              <w:spacing w:before="0" w:after="0"/>
            </w:pPr>
            <w:r>
              <w:rPr>
                <w:rStyle w:val="row-content"/>
                <w:color w:val="244061"/>
              </w:rPr>
              <w:t xml:space="preserve">       </w:t>
            </w:r>
            <w:hyperlink w:history="true" r:id="Rfb2fdc4fd5c742b6">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7b191fd9acf5455e">
              <w:r>
                <w:rPr>
                  <w:rStyle w:val="Hyperlink"/>
                </w:rPr>
                <w:t xml:space="preserve">Medical indemnity NBPDS 2014-</w:t>
              </w:r>
            </w:hyperlink>
          </w:p>
          <w:p>
            <w:pPr>
              <w:spacing w:before="0" w:after="0"/>
            </w:pPr>
            <w:r>
              <w:rPr>
                <w:rStyle w:val="row-content"/>
                <w:color w:val="244061"/>
              </w:rPr>
              <w:t xml:space="preserve">       </w:t>
            </w:r>
            <w:hyperlink w:history="true" r:id="R07cfef62eba042ec">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8e3e96033f44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421931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5418f362d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e96033f444bdc" /><Relationship Type="http://schemas.openxmlformats.org/officeDocument/2006/relationships/header" Target="/word/header1.xml" Id="R07757ae0a8fb407b" /><Relationship Type="http://schemas.openxmlformats.org/officeDocument/2006/relationships/settings" Target="/word/settings.xml" Id="Rbe0b7068b19441aa" /><Relationship Type="http://schemas.openxmlformats.org/officeDocument/2006/relationships/styles" Target="/word/styles.xml" Id="R0e9169c36a714afc" /><Relationship Type="http://schemas.openxmlformats.org/officeDocument/2006/relationships/hyperlink" Target="https://meteor.aihw.gov.au/RegistrationAuthority/12" TargetMode="External" Id="R0de7f934141847b4" /><Relationship Type="http://schemas.openxmlformats.org/officeDocument/2006/relationships/hyperlink" Target="https://meteor.aihw.gov.au/content/330209" TargetMode="External" Id="R411309af03944eb0" /><Relationship Type="http://schemas.openxmlformats.org/officeDocument/2006/relationships/hyperlink" Target="https://meteor.aihw.gov.au/content/329592" TargetMode="External" Id="Rccf24d03ded24e3c" /><Relationship Type="http://schemas.openxmlformats.org/officeDocument/2006/relationships/hyperlink" Target="https://meteor.aihw.gov.au/content/246013" TargetMode="External" Id="R0fdb28b19e2f40b1" /><Relationship Type="http://schemas.openxmlformats.org/officeDocument/2006/relationships/hyperlink" Target="https://meteor.aihw.gov.au/content/246013" TargetMode="External" Id="R777a6369cb164ef2" /><Relationship Type="http://schemas.openxmlformats.org/officeDocument/2006/relationships/hyperlink" Target="https://meteor.aihw.gov.au/content/329638" TargetMode="External" Id="R09a5ef31766a4287" /><Relationship Type="http://schemas.openxmlformats.org/officeDocument/2006/relationships/hyperlink" Target="https://meteor.aihw.gov.au/RegistrationAuthority/12" TargetMode="External" Id="Rfb2fdc4fd5c742b6" /><Relationship Type="http://schemas.openxmlformats.org/officeDocument/2006/relationships/hyperlink" Target="https://meteor.aihw.gov.au/content/531844" TargetMode="External" Id="R7b191fd9acf5455e" /><Relationship Type="http://schemas.openxmlformats.org/officeDocument/2006/relationships/hyperlink" Target="https://meteor.aihw.gov.au/RegistrationAuthority/12" TargetMode="External" Id="R07cfef62eba042ec" /></Relationships>
</file>

<file path=word/_rels/header1.xml.rels>&#65279;<?xml version="1.0" encoding="utf-8"?><Relationships xmlns="http://schemas.openxmlformats.org/package/2006/relationships"><Relationship Type="http://schemas.openxmlformats.org/officeDocument/2006/relationships/image" Target="/media/image.png" Id="Rc1b5418f362d4216" /></Relationships>
</file>