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1cbad5b47f4db5"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759888e5d48cd">
              <w:r>
                <w:rPr>
                  <w:rStyle w:val="Hyperlink"/>
                  <w:color w:val="244061"/>
                </w:rPr>
                <w:t xml:space="preserve">Tasmanian Health</w:t>
              </w:r>
            </w:hyperlink>
            <w:r>
              <w:rPr>
                <w:rStyle w:val="row-content"/>
                <w:color w:val="244061"/>
              </w:rPr>
              <w:t xml:space="preserve">, Superseded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1ab8b0bb1e8c44bd">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311f497f8f4454">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54d5846cbe4e2b">
              <w:r>
                <w:rPr>
                  <w:rStyle w:val="Hyperlink"/>
                </w:rPr>
                <w:t xml:space="preserve">Tasmanian hospital care type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or</w:t>
            </w:r>
          </w:p>
          <w:p>
            <w:pPr>
              <w:pStyle w:val="ListParagraph"/>
              <w:numPr>
                <w:ilvl w:val="0"/>
                <w:numId w:val="4"/>
              </w:numPr>
            </w:pPr>
            <w:r>
              <w:rPr>
                <w:rStyle w:val="row-content-rich-text"/>
              </w:rPr>
              <w:t xml:space="preserve">in a designated palliative care program;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w:t>
            </w:r>
          </w:p>
          <w:p>
            <w:pPr>
              <w:spacing w:after="160"/>
            </w:pPr>
            <w:r>
              <w:rPr>
                <w:rStyle w:val="row-content-rich-text"/>
              </w:rPr>
              <w:t xml:space="preserve">Palliative care includes cases of chemotherapy, surgery and/or radiotherapy when the principal clinical intent is relief of symptoms rather than curing the disease.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w:t>
            </w:r>
          </w:p>
          <w:p>
            <w:pPr>
              <w:pStyle w:val="ListParagraph"/>
              <w:numPr>
                <w:ilvl w:val="0"/>
                <w:numId w:val="5"/>
              </w:numPr>
            </w:pPr>
            <w:r>
              <w:rPr>
                <w:rStyle w:val="row-content-rich-text"/>
              </w:rPr>
              <w:t xml:space="preserve">in a designated geriatric evaluation and management program;</w:t>
            </w:r>
          </w:p>
          <w:p>
            <w:pPr>
              <w:pStyle w:val="ListParagraph"/>
              <w:numPr>
                <w:ilvl w:val="0"/>
                <w:numId w:val="5"/>
              </w:numPr>
            </w:pPr>
            <w:r>
              <w:rPr>
                <w:rStyle w:val="row-content-rich-text"/>
              </w:rPr>
              <w:t xml:space="preserve">under the principal clinical management of a geriatric evaluation and management physician;</w:t>
            </w:r>
          </w:p>
          <w:p>
            <w:pPr>
              <w:pStyle w:val="ListParagraph"/>
              <w:numPr>
                <w:ilvl w:val="0"/>
                <w:numId w:val="5"/>
              </w:numPr>
            </w:pPr>
            <w:r>
              <w:rPr>
                <w:rStyle w:val="row-content-rich-text"/>
              </w:rPr>
              <w:t xml:space="preserve">in the opinion of the treating doctor, when the principal clinical intent of care is geriatric evaluation and management;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 </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 </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9"/>
              </w:numPr>
            </w:pPr>
            <w:r>
              <w:rPr>
                <w:rStyle w:val="row-content-rich-text"/>
              </w:rPr>
              <w:t xml:space="preserve">in a Psychogeriatriccare unit;</w:t>
            </w:r>
          </w:p>
          <w:p>
            <w:pPr>
              <w:pStyle w:val="ListParagraph"/>
              <w:numPr>
                <w:ilvl w:val="0"/>
                <w:numId w:val="9"/>
              </w:numPr>
            </w:pPr>
            <w:r>
              <w:rPr>
                <w:rStyle w:val="row-content-rich-text"/>
              </w:rPr>
              <w:t xml:space="preserve">in a designated Psychogeriatric care program; and or</w:t>
            </w:r>
          </w:p>
          <w:p>
            <w:pPr>
              <w:pStyle w:val="ListParagraph"/>
              <w:numPr>
                <w:ilvl w:val="0"/>
                <w:numId w:val="9"/>
              </w:numPr>
            </w:pPr>
            <w:r>
              <w:rPr>
                <w:rStyle w:val="row-content-rich-text"/>
              </w:rPr>
              <w:t xml:space="preserve">under the principal clinical management of a Psychogeriatric physician (or, in the opinion of the treating doctor, when the principal clinical intent of care is psychogeriatic care).</w:t>
            </w:r>
          </w:p>
          <w:p>
            <w:pPr>
              <w:spacing w:after="160"/>
            </w:pPr>
            <w:r>
              <w:rPr>
                <w:rStyle w:val="row-content-rich-text"/>
              </w:rPr>
              <w:t xml:space="preserve">CODE REHAB      Rehabilitation</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10"/>
              </w:numPr>
            </w:pPr>
            <w:r>
              <w:rPr>
                <w:rStyle w:val="row-content-rich-text"/>
              </w:rPr>
              <w:t xml:space="preserve">in a designated rehabilitation unit, or</w:t>
            </w:r>
          </w:p>
          <w:p>
            <w:pPr>
              <w:pStyle w:val="ListParagraph"/>
              <w:numPr>
                <w:ilvl w:val="0"/>
                <w:numId w:val="10"/>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or</w:t>
            </w:r>
          </w:p>
          <w:p>
            <w:pPr>
              <w:pStyle w:val="ListParagraph"/>
              <w:numPr>
                <w:ilvl w:val="0"/>
                <w:numId w:val="10"/>
              </w:numPr>
            </w:pPr>
            <w:r>
              <w:rPr>
                <w:rStyle w:val="row-content-rich-text"/>
              </w:rPr>
              <w:t xml:space="preserve">under the principal clinical management of a rehabilitation physician or, in the opinion of the treating doctor, when the principal clinical intent of care is rehabilitation.</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 </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16128892234227">
              <w:r>
                <w:rPr>
                  <w:rStyle w:val="Hyperlink"/>
                </w:rPr>
                <w:t xml:space="preserve">Hospital service—care type, Tasmanian code X[XXXX]</w:t>
              </w:r>
            </w:hyperlink>
          </w:p>
          <w:p>
            <w:pPr>
              <w:spacing w:before="0" w:after="0"/>
            </w:pPr>
            <w:r>
              <w:rPr>
                <w:rStyle w:val="row-content"/>
                <w:color w:val="244061"/>
              </w:rPr>
              <w:t xml:space="preserve">       </w:t>
            </w:r>
            <w:hyperlink w:history="true" r:id="Rd71740fbe6464335">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1192c3356cc4b3e">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61753c909a63408b">
              <w:r>
                <w:rPr>
                  <w:rStyle w:val="Hyperlink"/>
                  <w:color w:val="244061"/>
                </w:rPr>
                <w:t xml:space="preserve">Tasmanian Health</w:t>
              </w:r>
            </w:hyperlink>
            <w:r>
              <w:rPr>
                <w:rStyle w:val="row-content"/>
                <w:color w:val="244061"/>
              </w:rPr>
              <w:t xml:space="preserve">, Superseded 09/12/2016</w:t>
            </w:r>
          </w:p>
          <w:p>
            <w:r>
              <w:br/>
            </w:r>
            <w:hyperlink w:history="true" r:id="R2f2fecd3523d42a9">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390f866ee0394465">
              <w:r>
                <w:rPr>
                  <w:rStyle w:val="Hyperlink"/>
                  <w:color w:val="244061"/>
                </w:rPr>
                <w:t xml:space="preserve">Tasmanian Health</w:t>
              </w:r>
            </w:hyperlink>
            <w:r>
              <w:rPr>
                <w:rStyle w:val="row-content"/>
                <w:color w:val="244061"/>
              </w:rPr>
              <w:t xml:space="preserve">, Superseded 09/12/2016</w:t>
            </w:r>
          </w:p>
          <w:p>
            <w:r>
              <w:br/>
            </w:r>
            <w:hyperlink w:history="true" r:id="Ra4637952452f4247">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52b572990bb040c8">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17c6fa3f0da0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417672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d029140ab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6fa3f0da048b2" /><Relationship Type="http://schemas.openxmlformats.org/officeDocument/2006/relationships/header" Target="/word/header1.xml" Id="Ra0c5fc8027d344b3" /><Relationship Type="http://schemas.openxmlformats.org/officeDocument/2006/relationships/settings" Target="/word/settings.xml" Id="R097ceb1df81e48ab" /><Relationship Type="http://schemas.openxmlformats.org/officeDocument/2006/relationships/styles" Target="/word/styles.xml" Id="Ra034279bb6074f6f" /><Relationship Type="http://schemas.openxmlformats.org/officeDocument/2006/relationships/hyperlink" Target="https://meteor.aihw.gov.au/RegistrationAuthority/15" TargetMode="External" Id="R258759888e5d48cd" /><Relationship Type="http://schemas.openxmlformats.org/officeDocument/2006/relationships/hyperlink" Target="https://meteor.aihw.gov.au/content/327258" TargetMode="External" Id="R1ab8b0bb1e8c44bd" /><Relationship Type="http://schemas.openxmlformats.org/officeDocument/2006/relationships/hyperlink" Target="https://meteor.aihw.gov.au/content/510083" TargetMode="External" Id="R1f311f497f8f4454" /><Relationship Type="http://schemas.openxmlformats.org/officeDocument/2006/relationships/hyperlink" Target="https://meteor.aihw.gov.au/content/417674" TargetMode="External" Id="Rfc54d5846cbe4e2b" /><Relationship Type="http://schemas.openxmlformats.org/officeDocument/2006/relationships/numbering" Target="/word/numbering.xml" Id="Rf1575242cebc4e60" /><Relationship Type="http://schemas.openxmlformats.org/officeDocument/2006/relationships/hyperlink" Target="https://meteor.aihw.gov.au/content/608593" TargetMode="External" Id="R2416128892234227" /><Relationship Type="http://schemas.openxmlformats.org/officeDocument/2006/relationships/hyperlink" Target="https://meteor.aihw.gov.au/RegistrationAuthority/15" TargetMode="External" Id="Rd71740fbe6464335" /><Relationship Type="http://schemas.openxmlformats.org/officeDocument/2006/relationships/hyperlink" Target="https://meteor.aihw.gov.au/content/493686" TargetMode="External" Id="Rb1192c3356cc4b3e" /><Relationship Type="http://schemas.openxmlformats.org/officeDocument/2006/relationships/hyperlink" Target="https://meteor.aihw.gov.au/RegistrationAuthority/15" TargetMode="External" Id="R61753c909a63408b" /><Relationship Type="http://schemas.openxmlformats.org/officeDocument/2006/relationships/hyperlink" Target="https://meteor.aihw.gov.au/content/524546" TargetMode="External" Id="R2f2fecd3523d42a9" /><Relationship Type="http://schemas.openxmlformats.org/officeDocument/2006/relationships/hyperlink" Target="https://meteor.aihw.gov.au/RegistrationAuthority/15" TargetMode="External" Id="R390f866ee0394465" /><Relationship Type="http://schemas.openxmlformats.org/officeDocument/2006/relationships/hyperlink" Target="https://meteor.aihw.gov.au/content/581552" TargetMode="External" Id="Ra4637952452f4247" /><Relationship Type="http://schemas.openxmlformats.org/officeDocument/2006/relationships/hyperlink" Target="https://meteor.aihw.gov.au/RegistrationAuthority/15" TargetMode="External" Id="R52b572990bb040c8" /></Relationships>
</file>

<file path=word/_rels/header1.xml.rels>&#65279;<?xml version="1.0" encoding="utf-8"?><Relationships xmlns="http://schemas.openxmlformats.org/package/2006/relationships"><Relationship Type="http://schemas.openxmlformats.org/officeDocument/2006/relationships/image" Target="/media/image.png" Id="R95ad029140ab4966" /></Relationships>
</file>