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6c0694334450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P02-Mortality rate (and excess deaths) by leading causes,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P02-Mortality rate (and excess deaths) by leading causes,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Mortality rate (and excess deaths) by leading causes,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793da4da2648b3">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excess deaths for Australians for the leading causes of death, (ICD-10 causes of death)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965616f7004873">
              <w:r>
                <w:rPr>
                  <w:rStyle w:val="Hyperlink"/>
                </w:rPr>
                <w:t xml:space="preserve">National Indigenous Reform Agreement (2010)</w:t>
              </w:r>
            </w:hyperlink>
          </w:p>
          <w:p>
            <w:pPr>
              <w:pStyle w:val="registration-status"/>
              <w:spacing w:before="0" w:after="0"/>
            </w:pPr>
            <w:hyperlink w:history="true" r:id="Raa67e9db18d34d6f">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3a05fc3ff3f4651">
              <w:r>
                <w:rPr>
                  <w:rStyle w:val="Hyperlink"/>
                </w:rPr>
                <w:t xml:space="preserve">Indigenous Australians achieve health outcomes comparable to the broader population</w:t>
              </w:r>
            </w:hyperlink>
          </w:p>
          <w:p>
            <w:pPr>
              <w:pStyle w:val="registration-status"/>
              <w:spacing w:before="0" w:after="0"/>
            </w:pPr>
            <w:hyperlink w:history="true" r:id="Ra340a442846a4caa">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c15c61ec035426f">
              <w:r>
                <w:rPr>
                  <w:rStyle w:val="Hyperlink"/>
                </w:rPr>
                <w:t xml:space="preserve">National Indigenous Reform Agreement: P02-Mortality rate (and excess deaths) by leading causes, 2010 QS</w:t>
              </w:r>
            </w:hyperlink>
          </w:p>
          <w:p>
            <w:pPr>
              <w:pStyle w:val="registration-status"/>
              <w:spacing w:before="0" w:after="0"/>
            </w:pPr>
            <w:hyperlink w:history="true" r:id="R6019e8e0f2c04929">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Australians by the leading causes of death, by Indigenous status</w:t>
            </w:r>
          </w:p>
          <w:p>
            <w:pPr>
              <w:spacing w:after="160"/>
            </w:pPr>
            <w:r>
              <w:rPr>
                <w:rStyle w:val="row-content-rich-text"/>
              </w:rPr>
              <w:t xml:space="preserve">Measure (1b): Excess deaths for Indigenous Australians by the leading causes of death</w:t>
            </w:r>
          </w:p>
          <w:p>
            <w:pPr/>
            <w:r>
              <w:rPr>
                <w:rStyle w:val="row-content-rich-text"/>
              </w:rPr>
              <w:t xml:space="preserve">Crude and age standardised rates, rate ratios and rate differences are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100,000 x (Numerator ÷ Denominator)</w:t>
            </w:r>
          </w:p>
          <w:p>
            <w:pPr/>
            <w:r>
              <w:rPr>
                <w:rStyle w:val="row-content-rich-text"/>
              </w:rPr>
              <w:t xml:space="preserve">Excess deaths: Observed number of Indigenous deaths less expected number of Indigenous deaths if the age specific rates of the non-Indigenous population were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registered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d3a1468da14236">
              <w:r>
                <w:rPr>
                  <w:rStyle w:val="Hyperlink"/>
                </w:rPr>
                <w:t xml:space="preserve">Person—date of birth, DDMMYYYY</w:t>
              </w:r>
            </w:hyperlink>
          </w:p>
          <w:p>
            <w:r>
              <w:rPr>
                <w:rStyle w:val="row-content"/>
                <w:b/>
              </w:rPr>
              <w:t xml:space="preserve">Data Source</w:t>
            </w:r>
          </w:p>
          <w:p>
            <w:hyperlink w:history="true" r:id="Rd4317a4bb4754bd4">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53c549121a4fa2">
              <w:r>
                <w:rPr>
                  <w:rStyle w:val="Hyperlink"/>
                </w:rPr>
                <w:t xml:space="preserve">Person—date of birth, DDMMYYYY</w:t>
              </w:r>
            </w:hyperlink>
          </w:p>
          <w:p>
            <w:r>
              <w:rPr>
                <w:rStyle w:val="row-content"/>
                <w:b/>
              </w:rPr>
              <w:t xml:space="preserve">Data Source</w:t>
            </w:r>
          </w:p>
          <w:p>
            <w:hyperlink w:history="true" r:id="Re707696b426747f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5dae58523b40c6">
              <w:r>
                <w:rPr>
                  <w:rStyle w:val="Hyperlink"/>
                </w:rPr>
                <w:t xml:space="preserve">Person—date of death, DDMMYYYY</w:t>
              </w:r>
            </w:hyperlink>
          </w:p>
          <w:p>
            <w:r>
              <w:rPr>
                <w:rStyle w:val="row-content"/>
                <w:b/>
              </w:rPr>
              <w:t xml:space="preserve">Data Source</w:t>
            </w:r>
          </w:p>
          <w:p>
            <w:hyperlink w:history="true" r:id="Rd22f6ff7dda844d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2ec51c808a4828">
              <w:r>
                <w:rPr>
                  <w:rStyle w:val="Hyperlink"/>
                </w:rPr>
                <w:t xml:space="preserve">Person—date of death, DDMMYYYY</w:t>
              </w:r>
            </w:hyperlink>
          </w:p>
          <w:p>
            <w:r>
              <w:rPr>
                <w:rStyle w:val="row-content"/>
                <w:b/>
              </w:rPr>
              <w:t xml:space="preserve">Data Source</w:t>
            </w:r>
          </w:p>
          <w:p>
            <w:hyperlink w:history="true" r:id="Rbd3efe198a9b4f3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4f1c4562544c2a">
              <w:r>
                <w:rPr>
                  <w:rStyle w:val="Hyperlink"/>
                </w:rPr>
                <w:t xml:space="preserve">Person—estimated resident population of Australia, total people N[N(7)]</w:t>
              </w:r>
            </w:hyperlink>
          </w:p>
          <w:p>
            <w:r>
              <w:rPr>
                <w:rStyle w:val="row-content"/>
                <w:b/>
              </w:rPr>
              <w:t xml:space="preserve">Data Source</w:t>
            </w:r>
          </w:p>
          <w:p>
            <w:hyperlink w:history="true" r:id="Rbeeebf00fe92446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Derived from Census, PES and assumptions on future fertility, mortality, net migration etc.</w:t>
            </w:r>
          </w:p>
          <w:p>
            <w:r>
              <w:rPr>
                <w:rStyle w:val="row-content"/>
              </w:rPr>
              <w:t xml:space="preserve"> </w:t>
            </w:r>
          </w:p>
          <w:p>
            <w:r>
              <w:rPr>
                <w:rStyle w:val="row-content"/>
                <w:b/>
                <w:color w:val="000000"/>
              </w:rPr>
              <w:t xml:space="preserve">Data Element / Data Set</w:t>
            </w:r>
          </w:p>
          <w:p>
            <w:hyperlink w:history="true" r:id="R32e4c0001e704501">
              <w:r>
                <w:rPr>
                  <w:rStyle w:val="Hyperlink"/>
                </w:rPr>
                <w:t xml:space="preserve">Person—estimated resident population of Australia, total people N[N(7)]</w:t>
              </w:r>
            </w:hyperlink>
          </w:p>
          <w:p>
            <w:r>
              <w:rPr>
                <w:rStyle w:val="row-content"/>
                <w:b/>
              </w:rPr>
              <w:t xml:space="preserve">Data Source</w:t>
            </w:r>
          </w:p>
          <w:p>
            <w:hyperlink w:history="true" r:id="R8271c2a6d34145c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Derived from Census, Post-enumeration survey (PES) and assumptions on future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37ffb543ad46a2">
              <w:r>
                <w:rPr>
                  <w:rStyle w:val="Hyperlink"/>
                </w:rPr>
                <w:t xml:space="preserve">Person—sex, code N</w:t>
              </w:r>
            </w:hyperlink>
          </w:p>
          <w:p>
            <w:r>
              <w:rPr>
                <w:rStyle w:val="row-content"/>
                <w:b/>
              </w:rPr>
              <w:t xml:space="preserve">Data Source</w:t>
            </w:r>
          </w:p>
          <w:p>
            <w:hyperlink w:history="true" r:id="R05ddf4f5a3464e9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122c78d1af48a3">
              <w:r>
                <w:rPr>
                  <w:rStyle w:val="Hyperlink"/>
                </w:rPr>
                <w:t xml:space="preserve">Person—Indigenous status, code N</w:t>
              </w:r>
            </w:hyperlink>
          </w:p>
          <w:p>
            <w:r>
              <w:rPr>
                <w:rStyle w:val="row-content"/>
                <w:b/>
              </w:rPr>
              <w:t xml:space="preserve">Data Source</w:t>
            </w:r>
          </w:p>
          <w:p>
            <w:hyperlink w:history="true" r:id="Rfa34ef45446c47e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382ddeee904c6f">
              <w:r>
                <w:rPr>
                  <w:rStyle w:val="Hyperlink"/>
                </w:rPr>
                <w:t xml:space="preserve">Person—underlying cause of death, code (ICD-10 2nd edn) ANN-ANN</w:t>
              </w:r>
            </w:hyperlink>
          </w:p>
          <w:p>
            <w:r>
              <w:rPr>
                <w:rStyle w:val="row-content"/>
                <w:b/>
              </w:rPr>
              <w:t xml:space="preserve">Data Source</w:t>
            </w:r>
          </w:p>
          <w:p>
            <w:hyperlink w:history="true" r:id="Ra1b3b6574a0149d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38426c82c242b0">
              <w:r>
                <w:rPr>
                  <w:rStyle w:val="Hyperlink"/>
                </w:rPr>
                <w:t xml:space="preserve">Person—area of usual residence, geographical location code (ASGC 2007) NNNNN</w:t>
              </w:r>
            </w:hyperlink>
          </w:p>
          <w:p>
            <w:r>
              <w:rPr>
                <w:rStyle w:val="row-content"/>
                <w:b/>
              </w:rPr>
              <w:t xml:space="preserve">Data Source</w:t>
            </w:r>
          </w:p>
          <w:p>
            <w:hyperlink w:history="true" r:id="Rb093e6ac44f947f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By leading cause of death: National, sex and selected states/territories by Indigenous status</w:t>
            </w:r>
          </w:p>
          <w:p>
            <w:pPr>
              <w:spacing w:after="160"/>
            </w:pPr>
            <w:r>
              <w:rPr>
                <w:rStyle w:val="row-content-rich-text"/>
              </w:rPr>
              <w:t xml:space="preserve">Recommended disaggregation: By leading cause of death: National, by sex by Indigenous status; selected states and territories by Indigenous status</w:t>
            </w:r>
          </w:p>
          <w:p>
            <w:pPr>
              <w:spacing w:after="160"/>
            </w:pPr>
            <w:r>
              <w:rPr>
                <w:rStyle w:val="row-content-rich-text"/>
              </w:rPr>
              <w:t xml:space="preserve">Most recent data available for 2010 CRC baseline report: 2007</w:t>
            </w:r>
          </w:p>
          <w:p>
            <w:pPr/>
            <w:r>
              <w:rPr>
                <w:rStyle w:val="row-content-rich-text"/>
              </w:rPr>
              <w:t xml:space="preserve">At this stage, only data from selected state/territories are considered of acceptable quality for reporting mortality of Indigenous persons (NSW, Qld, WA, SA &amp; NT).</w:t>
            </w:r>
            <w:r>
              <w:br/>
            </w:r>
            <w:r>
              <w:rPr>
                <w:rStyle w:val="row-content-rich-text"/>
              </w:rPr>
              <w:t xml:space="preserve">Due to small number of Indigenous deaths reported each year, 5 year combined data will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b9a57d5e484b5b">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7250e6556f40c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724fc8cc948459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76600745bd449fe">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43aa61d9e3349a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629b16b785f424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e3cd87a6a7b45d2">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2abd4094d43e4841">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statistical agencies and state/territory governments are currently working with Registrars and funeral directors and doctors to improve the quality of Indigenous status information on death notification forms and death certificates.</w:t>
            </w:r>
          </w:p>
          <w:p>
            <w:pPr/>
            <w:r>
              <w:rPr>
                <w:rStyle w:val="row-content-rich-text"/>
              </w:rPr>
              <w:t xml:space="preserve">Indigenous identification needs improvement in deaths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Indigenous status is Indigenous Australians and other Australians (Non-Indigenous and not stated Indigenous status).</w:t>
            </w:r>
          </w:p>
          <w:p>
            <w:pPr>
              <w:spacing w:after="160"/>
            </w:pPr>
            <w:r>
              <w:rPr>
                <w:rStyle w:val="row-content-rich-text"/>
              </w:rPr>
              <w:t xml:space="preserve">Rates are indirectly age-standardised to the Australian Estimated Resident Population as at June 30 2001. </w:t>
            </w:r>
          </w:p>
          <w:p>
            <w:pPr/>
            <w:r>
              <w:rPr>
                <w:rStyle w:val="row-content-rich-text"/>
              </w:rPr>
              <w:t xml:space="preserve">Numbers will be too small to report by cause of death in some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96cf3019d94a1b">
              <w:r>
                <w:rPr>
                  <w:rStyle w:val="Hyperlink"/>
                </w:rPr>
                <w:t xml:space="preserve">National Indigenous Reform Agreement: PI 02-Mortality rate (and excess deaths) by leading causes, 2011</w:t>
              </w:r>
            </w:hyperlink>
          </w:p>
          <w:p>
            <w:pPr>
              <w:pStyle w:val="registration-status"/>
              <w:spacing w:before="0" w:after="0"/>
            </w:pPr>
            <w:hyperlink w:history="true" r:id="Rda35c154fa2a4755">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0e74078c0d824b29">
              <w:r>
                <w:rPr>
                  <w:rStyle w:val="Hyperlink"/>
                </w:rPr>
                <w:t xml:space="preserve">National Healthcare Agreement: P59-Age-standardised mortality by major cause of death, 2010</w:t>
              </w:r>
            </w:hyperlink>
          </w:p>
          <w:p>
            <w:pPr>
              <w:pStyle w:val="registration-status"/>
              <w:spacing w:before="0" w:after="0"/>
            </w:pPr>
            <w:hyperlink w:history="true" r:id="R8f438b8543ee4c2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50de73b060d43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396109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ca4445910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0de73b060d4326" /><Relationship Type="http://schemas.openxmlformats.org/officeDocument/2006/relationships/header" Target="/word/header1.xml" Id="R7156b5fcf0a6433a" /><Relationship Type="http://schemas.openxmlformats.org/officeDocument/2006/relationships/settings" Target="/word/settings.xml" Id="R317706dd5bba4ae1" /><Relationship Type="http://schemas.openxmlformats.org/officeDocument/2006/relationships/styles" Target="/word/styles.xml" Id="R45ffa316325e4e31" /><Relationship Type="http://schemas.openxmlformats.org/officeDocument/2006/relationships/hyperlink" Target="https://meteor.aihw.gov.au/RegistrationAuthority/1" TargetMode="External" Id="R9a793da4da2648b3" /><Relationship Type="http://schemas.openxmlformats.org/officeDocument/2006/relationships/hyperlink" Target="https://meteor.aihw.gov.au/content/393476" TargetMode="External" Id="R1a965616f7004873" /><Relationship Type="http://schemas.openxmlformats.org/officeDocument/2006/relationships/hyperlink" Target="https://meteor.aihw.gov.au/RegistrationAuthority/1" TargetMode="External" Id="Raa67e9db18d34d6f" /><Relationship Type="http://schemas.openxmlformats.org/officeDocument/2006/relationships/hyperlink" Target="https://meteor.aihw.gov.au/content/396115" TargetMode="External" Id="R03a05fc3ff3f4651" /><Relationship Type="http://schemas.openxmlformats.org/officeDocument/2006/relationships/hyperlink" Target="https://meteor.aihw.gov.au/RegistrationAuthority/6" TargetMode="External" Id="Ra340a442846a4caa" /><Relationship Type="http://schemas.openxmlformats.org/officeDocument/2006/relationships/hyperlink" Target="https://meteor.aihw.gov.au/content/396214" TargetMode="External" Id="Rfc15c61ec035426f" /><Relationship Type="http://schemas.openxmlformats.org/officeDocument/2006/relationships/hyperlink" Target="https://meteor.aihw.gov.au/RegistrationAuthority/1" TargetMode="External" Id="R6019e8e0f2c04929" /><Relationship Type="http://schemas.openxmlformats.org/officeDocument/2006/relationships/hyperlink" Target="https://meteor.aihw.gov.au/content/287007" TargetMode="External" Id="Rb2d3a1468da14236" /><Relationship Type="http://schemas.openxmlformats.org/officeDocument/2006/relationships/hyperlink" Target="https://meteor.aihw.gov.au/content/394481" TargetMode="External" Id="Rd4317a4bb4754bd4" /><Relationship Type="http://schemas.openxmlformats.org/officeDocument/2006/relationships/hyperlink" Target="https://meteor.aihw.gov.au/content/287007" TargetMode="External" Id="R6353c549121a4fa2" /><Relationship Type="http://schemas.openxmlformats.org/officeDocument/2006/relationships/hyperlink" Target="https://meteor.aihw.gov.au/content/394490" TargetMode="External" Id="Re707696b426747f4" /><Relationship Type="http://schemas.openxmlformats.org/officeDocument/2006/relationships/hyperlink" Target="https://meteor.aihw.gov.au/content/287305" TargetMode="External" Id="Rec5dae58523b40c6" /><Relationship Type="http://schemas.openxmlformats.org/officeDocument/2006/relationships/hyperlink" Target="https://meteor.aihw.gov.au/content/394481" TargetMode="External" Id="Rd22f6ff7dda844da" /><Relationship Type="http://schemas.openxmlformats.org/officeDocument/2006/relationships/hyperlink" Target="https://meteor.aihw.gov.au/content/287305" TargetMode="External" Id="R022ec51c808a4828" /><Relationship Type="http://schemas.openxmlformats.org/officeDocument/2006/relationships/hyperlink" Target="https://meteor.aihw.gov.au/content/394490" TargetMode="External" Id="Rbd3efe198a9b4f3a" /><Relationship Type="http://schemas.openxmlformats.org/officeDocument/2006/relationships/hyperlink" Target="https://meteor.aihw.gov.au/content/388656" TargetMode="External" Id="Rd24f1c4562544c2a" /><Relationship Type="http://schemas.openxmlformats.org/officeDocument/2006/relationships/hyperlink" Target="https://meteor.aihw.gov.au/content/393625" TargetMode="External" Id="Rbeeebf00fe924465" /><Relationship Type="http://schemas.openxmlformats.org/officeDocument/2006/relationships/hyperlink" Target="https://meteor.aihw.gov.au/content/388656" TargetMode="External" Id="R32e4c0001e704501" /><Relationship Type="http://schemas.openxmlformats.org/officeDocument/2006/relationships/hyperlink" Target="https://meteor.aihw.gov.au/content/394092" TargetMode="External" Id="R8271c2a6d34145c5" /><Relationship Type="http://schemas.openxmlformats.org/officeDocument/2006/relationships/hyperlink" Target="https://meteor.aihw.gov.au/content/287316" TargetMode="External" Id="R6537ffb543ad46a2" /><Relationship Type="http://schemas.openxmlformats.org/officeDocument/2006/relationships/hyperlink" Target="https://meteor.aihw.gov.au/content/394481" TargetMode="External" Id="R05ddf4f5a3464e91" /><Relationship Type="http://schemas.openxmlformats.org/officeDocument/2006/relationships/hyperlink" Target="https://meteor.aihw.gov.au/content/291036" TargetMode="External" Id="R2b122c78d1af48a3" /><Relationship Type="http://schemas.openxmlformats.org/officeDocument/2006/relationships/hyperlink" Target="https://meteor.aihw.gov.au/content/394481" TargetMode="External" Id="Rfa34ef45446c47ee" /><Relationship Type="http://schemas.openxmlformats.org/officeDocument/2006/relationships/hyperlink" Target="https://meteor.aihw.gov.au/content/307931" TargetMode="External" Id="R14382ddeee904c6f" /><Relationship Type="http://schemas.openxmlformats.org/officeDocument/2006/relationships/hyperlink" Target="https://meteor.aihw.gov.au/content/394490" TargetMode="External" Id="Ra1b3b6574a0149d9" /><Relationship Type="http://schemas.openxmlformats.org/officeDocument/2006/relationships/hyperlink" Target="https://meteor.aihw.gov.au/content/362291" TargetMode="External" Id="R9c38426c82c242b0" /><Relationship Type="http://schemas.openxmlformats.org/officeDocument/2006/relationships/hyperlink" Target="https://meteor.aihw.gov.au/content/394481" TargetMode="External" Id="Rb093e6ac44f947fe" /><Relationship Type="http://schemas.openxmlformats.org/officeDocument/2006/relationships/hyperlink" Target="https://meteor.aihw.gov.au/content/410671" TargetMode="External" Id="R9fb9a57d5e484b5b" /><Relationship Type="http://schemas.openxmlformats.org/officeDocument/2006/relationships/hyperlink" Target="https://meteor.aihw.gov.au/content/393625" TargetMode="External" Id="Rf57250e6556f40c4" /><Relationship Type="http://schemas.openxmlformats.org/officeDocument/2006/relationships/hyperlink" Target="https://meteor.aihw.gov.au/content/449216" TargetMode="External" Id="R2724fc8cc9484598" /><Relationship Type="http://schemas.openxmlformats.org/officeDocument/2006/relationships/hyperlink" Target="https://meteor.aihw.gov.au/content/394481" TargetMode="External" Id="R276600745bd449fe" /><Relationship Type="http://schemas.openxmlformats.org/officeDocument/2006/relationships/hyperlink" Target="https://meteor.aihw.gov.au/content/394092" TargetMode="External" Id="Rb43aa61d9e3349a8" /><Relationship Type="http://schemas.openxmlformats.org/officeDocument/2006/relationships/hyperlink" Target="https://meteor.aihw.gov.au/content/449223" TargetMode="External" Id="Rd629b16b785f4241" /><Relationship Type="http://schemas.openxmlformats.org/officeDocument/2006/relationships/hyperlink" Target="https://meteor.aihw.gov.au/content/394490" TargetMode="External" Id="Rde3cd87a6a7b45d2" /><Relationship Type="http://schemas.openxmlformats.org/officeDocument/2006/relationships/hyperlink" Target="https://meteor.aihw.gov.au/content/449206" TargetMode="External" Id="R2abd4094d43e4841" /><Relationship Type="http://schemas.openxmlformats.org/officeDocument/2006/relationships/hyperlink" Target="https://meteor.aihw.gov.au/content/425739" TargetMode="External" Id="R1396cf3019d94a1b" /><Relationship Type="http://schemas.openxmlformats.org/officeDocument/2006/relationships/hyperlink" Target="https://meteor.aihw.gov.au/RegistrationAuthority/6" TargetMode="External" Id="Rda35c154fa2a4755" /><Relationship Type="http://schemas.openxmlformats.org/officeDocument/2006/relationships/hyperlink" Target="https://meteor.aihw.gov.au/content/395099" TargetMode="External" Id="R0e74078c0d824b29" /><Relationship Type="http://schemas.openxmlformats.org/officeDocument/2006/relationships/hyperlink" Target="https://meteor.aihw.gov.au/RegistrationAuthority/12" TargetMode="External" Id="R8f438b8543ee4c24" /></Relationships>
</file>

<file path=word/_rels/header1.xml.rels>&#65279;<?xml version="1.0" encoding="utf-8"?><Relationships xmlns="http://schemas.openxmlformats.org/package/2006/relationships"><Relationship Type="http://schemas.openxmlformats.org/officeDocument/2006/relationships/image" Target="/media/image.png" Id="R479ca44459104120" /></Relationships>
</file>