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f2f56cbb244e02" /></Relationships>
</file>

<file path=word/document.xml><?xml version="1.0" encoding="utf-8"?>
<w:document xmlns:r="http://schemas.openxmlformats.org/officeDocument/2006/relationships" xmlns:w="http://schemas.openxmlformats.org/wordprocessingml/2006/main">
  <w:body>
    <w:p>
      <w:pPr>
        <w:pStyle w:val="Title"/>
      </w:pPr>
      <w:r>
        <w:t>Indicator set type -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type - Indicator Set</w:t>
      </w:r>
    </w:p>
    <w:p>
      <w:r>
        <w:t xml:space="preserve">Refers to the origin of the Indicator set and the auspice body responsible for defining the Indicator set. Currently there are four indicator set types. These have been developed in line with Australian Government policy decisions. More Indicator set types may be added to METEOR as required.</w:t>
      </w:r>
    </w:p>
    <w:p>
      <w:pPr>
        <w:pStyle w:val="Heading2"/>
      </w:pPr>
      <w:r>
        <w:t xml:space="preserve">COAG-IGA</w:t>
      </w:r>
    </w:p>
    <w:p>
      <w:r>
        <w:t xml:space="preserve">This includes indicators outlined in the Council of Australian government (COAG) Intergovernmental Agreement (IGA) on Federal Financial Relations relevant to national reporting on health, housing assistance and community services. The overall objective of these agreements is the improvement of the well-being of all Australians.</w:t>
      </w:r>
    </w:p>
    <w:p>
      <w:r>
        <w:t xml:space="preserve">Each Specific Purpose Payment (SPP) is associated with a National Agreement that contains the objectives, outcomes, outputs and indicators, and clarifies the roles and responsibilities that will guide the Commonwealth and States in the delivery of services across the relevant sectors. COAG agreed to six new National Agreements, the National Healthcare Agreement, National Education Agreement, National Agreement for Skills and Workforce Development, National Disability Agreement, National Affordable Housing Agreement, and the National Indigenous Reform Agreement.</w:t>
      </w:r>
    </w:p>
    <w:p>
      <w:r>
        <w:t xml:space="preserve">Agreements included under this Indicator set include:</w:t>
      </w:r>
    </w:p>
    <w:p>
      <w:pPr>
        <w:pStyle w:val="ListParagraph"/>
        <w:numPr>
          <w:ilvl w:val="0"/>
          <w:numId w:val="2"/>
        </w:numPr>
      </w:pPr>
      <w:r>
        <w:t xml:space="preserve">National Affordability Housing Agreement</w:t>
      </w:r>
    </w:p>
    <w:p>
      <w:pPr>
        <w:pStyle w:val="ListParagraph"/>
        <w:numPr>
          <w:ilvl w:val="0"/>
          <w:numId w:val="2"/>
        </w:numPr>
      </w:pPr>
      <w:r>
        <w:t xml:space="preserve">National Disability Agreement</w:t>
      </w:r>
    </w:p>
    <w:p>
      <w:pPr>
        <w:pStyle w:val="ListParagraph"/>
        <w:numPr>
          <w:ilvl w:val="0"/>
          <w:numId w:val="2"/>
        </w:numPr>
      </w:pPr>
      <w:r>
        <w:t xml:space="preserve">National Healthcare Agreement</w:t>
      </w:r>
    </w:p>
    <w:p>
      <w:pPr>
        <w:pStyle w:val="ListParagraph"/>
        <w:numPr>
          <w:ilvl w:val="0"/>
          <w:numId w:val="2"/>
        </w:numPr>
      </w:pPr>
      <w:r>
        <w:t xml:space="preserve">National Indigenous Reform Agreement</w:t>
      </w:r>
    </w:p>
    <w:p>
      <w:pPr>
        <w:pStyle w:val="Heading2"/>
      </w:pPr>
      <w:r>
        <w:t xml:space="preserve">COAG-NP</w:t>
      </w:r>
    </w:p>
    <w:p>
      <w:r>
        <w:t xml:space="preserve">The Council of Australian Governments (COAG) has agreed to a new form of payment called National Partnership (NP) payments to fund specific projects and to facilitate and/or reward States that deliver on nationally-significant reforms, such as:</w:t>
      </w:r>
    </w:p>
    <w:p>
      <w:pPr>
        <w:pStyle w:val="ListParagraph"/>
        <w:numPr>
          <w:ilvl w:val="0"/>
          <w:numId w:val="3"/>
        </w:numPr>
      </w:pPr>
      <w:r>
        <w:t xml:space="preserve">Homelessness</w:t>
      </w:r>
    </w:p>
    <w:p>
      <w:pPr>
        <w:pStyle w:val="ListParagraph"/>
        <w:numPr>
          <w:ilvl w:val="0"/>
          <w:numId w:val="3"/>
        </w:numPr>
      </w:pPr>
      <w:r>
        <w:t xml:space="preserve">Remote Indigenous Housing</w:t>
      </w:r>
    </w:p>
    <w:p>
      <w:pPr>
        <w:pStyle w:val="ListParagraph"/>
        <w:numPr>
          <w:ilvl w:val="0"/>
          <w:numId w:val="3"/>
        </w:numPr>
      </w:pPr>
      <w:r>
        <w:t xml:space="preserve">Social Housing</w:t>
      </w:r>
    </w:p>
    <w:p>
      <w:pPr>
        <w:pStyle w:val="Heading2"/>
      </w:pPr>
      <w:r>
        <w:t xml:space="preserve">Report on Government Services (ROGS)</w:t>
      </w:r>
    </w:p>
    <w:p>
      <w:r>
        <w:t xml:space="preserve">The Review of Government Service Provision was established in 1993 by Heads of government (now the Council of Australian Governments or COAG) to provide information on the effectiveness and efficiency of government services in Australia. A Steering Committee, comprising senior representatives from the central agencies of all governments, manages the Review with the assistance of a Secretariat provided by the Productivity Commission.</w:t>
      </w:r>
    </w:p>
    <w:p>
      <w:r>
        <w:t xml:space="preserve">The Review aims to:</w:t>
      </w:r>
    </w:p>
    <w:p>
      <w:pPr>
        <w:pStyle w:val="ListParagraph"/>
        <w:numPr>
          <w:ilvl w:val="0"/>
          <w:numId w:val="4"/>
        </w:numPr>
      </w:pPr>
      <w:r>
        <w:t xml:space="preserve">enable ongoing comparisons of the performance of government services</w:t>
      </w:r>
    </w:p>
    <w:p>
      <w:pPr>
        <w:pStyle w:val="ListParagraph"/>
        <w:numPr>
          <w:ilvl w:val="0"/>
          <w:numId w:val="4"/>
        </w:numPr>
      </w:pPr>
      <w:r>
        <w:t xml:space="preserve">report on government service provision reforms that governments have implemented or that are under consideration</w:t>
      </w:r>
    </w:p>
    <w:p>
      <w:r>
        <w:t xml:space="preserve">Two main tasks of the Review, as set out in the original terms of reference, are to:</w:t>
      </w:r>
    </w:p>
    <w:p>
      <w:pPr>
        <w:pStyle w:val="ListParagraph"/>
        <w:numPr>
          <w:ilvl w:val="0"/>
          <w:numId w:val="5"/>
        </w:numPr>
      </w:pPr>
      <w:r>
        <w:t xml:space="preserve">develop agreed national performance indicators for government services (which are published in the annual Report on Government Services)</w:t>
      </w:r>
    </w:p>
    <w:p>
      <w:pPr>
        <w:pStyle w:val="ListParagraph"/>
        <w:numPr>
          <w:ilvl w:val="0"/>
          <w:numId w:val="5"/>
        </w:numPr>
      </w:pPr>
      <w:r>
        <w:t xml:space="preserve">analyse service provision reforms.</w:t>
      </w:r>
    </w:p>
    <w:p>
      <w:r>
        <w:t xml:space="preserve">The Review does not consider policy issues. Rather, it aims to assemble indicators of performance given the existing policy framework of governments. The performance measures established are to assist each government in the formulation of its policy objectives and priorities in the following areas:</w:t>
      </w:r>
    </w:p>
    <w:p>
      <w:pPr>
        <w:pStyle w:val="ListParagraph"/>
        <w:numPr>
          <w:ilvl w:val="0"/>
          <w:numId w:val="6"/>
        </w:numPr>
      </w:pPr>
      <w:r>
        <w:t xml:space="preserve">Aged care services</w:t>
      </w:r>
    </w:p>
    <w:p>
      <w:pPr>
        <w:pStyle w:val="ListParagraph"/>
        <w:numPr>
          <w:ilvl w:val="0"/>
          <w:numId w:val="6"/>
        </w:numPr>
      </w:pPr>
      <w:r>
        <w:t xml:space="preserve">Disability services</w:t>
      </w:r>
    </w:p>
    <w:p>
      <w:pPr>
        <w:pStyle w:val="ListParagraph"/>
        <w:numPr>
          <w:ilvl w:val="0"/>
          <w:numId w:val="6"/>
        </w:numPr>
      </w:pPr>
      <w:r>
        <w:t xml:space="preserve">Housing</w:t>
      </w:r>
    </w:p>
    <w:p>
      <w:pPr>
        <w:pStyle w:val="ListParagraph"/>
        <w:numPr>
          <w:ilvl w:val="0"/>
          <w:numId w:val="6"/>
        </w:numPr>
      </w:pPr>
      <w:r>
        <w:t xml:space="preserve">Primary and community health</w:t>
      </w:r>
    </w:p>
    <w:p>
      <w:pPr>
        <w:pStyle w:val="ListParagraph"/>
        <w:numPr>
          <w:ilvl w:val="0"/>
          <w:numId w:val="6"/>
        </w:numPr>
      </w:pPr>
      <w:r>
        <w:t xml:space="preserve">Protection and support services</w:t>
      </w:r>
    </w:p>
    <w:p>
      <w:pPr>
        <w:pStyle w:val="ListParagraph"/>
        <w:numPr>
          <w:ilvl w:val="0"/>
          <w:numId w:val="6"/>
        </w:numPr>
      </w:pPr>
      <w:r>
        <w:t xml:space="preserve">Public hospitals</w:t>
      </w:r>
    </w:p>
    <w:p>
      <w:pPr>
        <w:pStyle w:val="Heading4"/>
      </w:pPr>
      <w:r>
        <w:t xml:space="preserve">Other national indicator sets</w:t>
      </w:r>
    </w:p>
    <w:p>
      <w:r>
        <w:t xml:space="preserve">This includes indicator sets which do not fit the criteria of the other data specification sets.  This may include indicator sets such as the Children’s Headline Indicator set or the Child Protection Framework.</w:t>
      </w:r>
    </w:p>
    <w:p>
      <w:r>
        <w:br/>
      </w:r>
      <w:r>
        <w:br/>
      </w:r>
    </w:p>
    <w:sectPr>
      <w:footerReference xmlns:r="http://schemas.openxmlformats.org/officeDocument/2006/relationships" w:type="default" r:id="Rb686755d3680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395515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c979aa23b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6755d36804aa3" /><Relationship Type="http://schemas.openxmlformats.org/officeDocument/2006/relationships/header" Target="/word/header1.xml" Id="Rd854ed6669db47a9" /><Relationship Type="http://schemas.openxmlformats.org/officeDocument/2006/relationships/settings" Target="/word/settings.xml" Id="Rc71fbaac38a54476" /><Relationship Type="http://schemas.openxmlformats.org/officeDocument/2006/relationships/styles" Target="/word/styles.xml" Id="R158f0cead59a4b88" /><Relationship Type="http://schemas.openxmlformats.org/officeDocument/2006/relationships/numbering" Target="/word/numbering.xml" Id="Rc385f088513144cd" /></Relationships>
</file>

<file path=word/_rels/header1.xml.rels>&#65279;<?xml version="1.0" encoding="utf-8"?><Relationships xmlns="http://schemas.openxmlformats.org/package/2006/relationships"><Relationship Type="http://schemas.openxmlformats.org/officeDocument/2006/relationships/image" Target="/media/image.png" Id="R96dc979aa23b4567" /></Relationships>
</file>