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54c073c684e8f"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23d34b29f4e22">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National best practice data set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38bf1a036f4c4f">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978ba03b67b6431f">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d7d712e82408e">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4cddf89674966">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3ae12de82445c">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468c0c5dd4eb2">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0cc84085b47c6">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c9f2f6ce845d3">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4f87fea4947c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6b2b9a0984fc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c260b8e63f4d37">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3936b2b8c4208">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10dfbc12c4ad9">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National best practice data set,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0be96871fa4bd9">
                    <w:r>
                      <w:rPr>
                        <w:rStyle w:val="Hyperlink"/>
                      </w:rPr>
                      <w:t xml:space="preserve">Person—year of first arrival in Australia, date YYYY</w:t>
                    </w:r>
                  </w:hyperlink>
                </w:p>
                <w:p>
                  <w:r>
                    <w:rPr>
                      <w:b/>
                      <w:i/>
                      <w:color w:val="333333"/>
                    </w:rPr>
                    <w:t xml:space="preserve">Conditional obligation:</w:t>
                  </w:r>
                </w:p>
                <w:p>
                  <w:r>
                    <w:t xml:space="preserve">Conditional on respondent being from a country that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356cfb4d3f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66743012f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56cfb4d3f4ce9" /><Relationship Type="http://schemas.openxmlformats.org/officeDocument/2006/relationships/header" Target="/word/header1.xml" Id="Rc840fa0821804410" /><Relationship Type="http://schemas.openxmlformats.org/officeDocument/2006/relationships/settings" Target="/word/settings.xml" Id="R10cdd0790c7d46da" /><Relationship Type="http://schemas.openxmlformats.org/officeDocument/2006/relationships/styles" Target="/word/styles.xml" Id="R0339a87d56014367" /><Relationship Type="http://schemas.openxmlformats.org/officeDocument/2006/relationships/hyperlink" Target="https://meteor.aihw.gov.au/RegistrationAuthority/12" TargetMode="External" Id="R22e23d34b29f4e22" /><Relationship Type="http://schemas.openxmlformats.org/officeDocument/2006/relationships/hyperlink" Target="https://meteor.aihw.gov.au/content/291112" TargetMode="External" Id="Rd438bf1a036f4c4f" /><Relationship Type="http://schemas.openxmlformats.org/officeDocument/2006/relationships/hyperlink" Target="https://meteor.aihw.gov.au/RegistrationAuthority/12" TargetMode="External" Id="R978ba03b67b6431f" /><Relationship Type="http://schemas.openxmlformats.org/officeDocument/2006/relationships/hyperlink" Target="https://meteor.aihw.gov.au/content/290737" TargetMode="External" Id="R849d7d712e82408e" /><Relationship Type="http://schemas.openxmlformats.org/officeDocument/2006/relationships/hyperlink" Target="https://meteor.aihw.gov.au/content/290742" TargetMode="External" Id="R93e4cddf89674966" /><Relationship Type="http://schemas.openxmlformats.org/officeDocument/2006/relationships/hyperlink" Target="https://meteor.aihw.gov.au/content/287224" TargetMode="External" Id="Redd3ae12de82445c" /><Relationship Type="http://schemas.openxmlformats.org/officeDocument/2006/relationships/hyperlink" Target="https://meteor.aihw.gov.au/content/287326" TargetMode="External" Id="R2e0468c0c5dd4eb2" /><Relationship Type="http://schemas.openxmlformats.org/officeDocument/2006/relationships/hyperlink" Target="https://meteor.aihw.gov.au/content/290540" TargetMode="External" Id="Rb250cc84085b47c6" /><Relationship Type="http://schemas.openxmlformats.org/officeDocument/2006/relationships/hyperlink" Target="https://meteor.aihw.gov.au/content/303794" TargetMode="External" Id="R445c9f2f6ce845d3" /><Relationship Type="http://schemas.openxmlformats.org/officeDocument/2006/relationships/hyperlink" Target="https://meteor.aihw.gov.au/content/659454" TargetMode="External" Id="Rd5b4f87fea4947ca" /><Relationship Type="http://schemas.openxmlformats.org/officeDocument/2006/relationships/hyperlink" Target="https://meteor.aihw.gov.au/content/287007" TargetMode="External" Id="R12b6b2b9a0984fc2" /><Relationship Type="http://schemas.openxmlformats.org/officeDocument/2006/relationships/hyperlink" Target="https://meteor.aihw.gov.au/content/291036" TargetMode="External" Id="R05c260b8e63f4d37" /><Relationship Type="http://schemas.openxmlformats.org/officeDocument/2006/relationships/hyperlink" Target="https://meteor.aihw.gov.au/content/291045" TargetMode="External" Id="Rf923936b2b8c4208" /><Relationship Type="http://schemas.openxmlformats.org/officeDocument/2006/relationships/hyperlink" Target="https://meteor.aihw.gov.au/content/287316" TargetMode="External" Id="Rd9e10dfbc12c4ad9" /><Relationship Type="http://schemas.openxmlformats.org/officeDocument/2006/relationships/hyperlink" Target="https://meteor.aihw.gov.au/content/269929" TargetMode="External" Id="Rfb0be96871fa4bd9" /></Relationships>
</file>

<file path=word/_rels/header1.xml.rels>&#65279;<?xml version="1.0" encoding="utf-8"?><Relationships xmlns="http://schemas.openxmlformats.org/package/2006/relationships"><Relationship Type="http://schemas.openxmlformats.org/officeDocument/2006/relationships/image" Target="/media/image.png" Id="Ra5e66743012f4375" /></Relationships>
</file>