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dace497314711"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d09ac488e411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3d14fb552d443cc">
              <w:r>
                <w:rPr>
                  <w:rStyle w:val="Hyperlink"/>
                  <w:color w:val="244061"/>
                </w:rPr>
                <w:t xml:space="preserve">Disability</w:t>
              </w:r>
            </w:hyperlink>
            <w:r>
              <w:rPr>
                <w:rStyle w:val="row-content"/>
                <w:color w:val="244061"/>
              </w:rPr>
              <w:t xml:space="preserve">, Standard 07/10/2014</w:t>
            </w:r>
          </w:p>
          <w:p>
            <w:pPr>
              <w:spacing w:before="0" w:after="0"/>
            </w:pPr>
            <w:hyperlink w:history="true" r:id="Rc95e56df0d43453c">
              <w:r>
                <w:rPr>
                  <w:rStyle w:val="Hyperlink"/>
                  <w:color w:val="244061"/>
                </w:rPr>
                <w:t xml:space="preserve">Early Childhood</w:t>
              </w:r>
            </w:hyperlink>
            <w:r>
              <w:rPr>
                <w:rStyle w:val="row-content"/>
                <w:color w:val="244061"/>
              </w:rPr>
              <w:t xml:space="preserve">, Standard 21/05/2010</w:t>
            </w:r>
          </w:p>
          <w:p>
            <w:pPr>
              <w:spacing w:before="0" w:after="0"/>
            </w:pPr>
            <w:hyperlink w:history="true" r:id="R58a8c070c9bb47a9">
              <w:r>
                <w:rPr>
                  <w:rStyle w:val="Hyperlink"/>
                  <w:color w:val="244061"/>
                </w:rPr>
                <w:t xml:space="preserve">Health</w:t>
              </w:r>
            </w:hyperlink>
            <w:r>
              <w:rPr>
                <w:rStyle w:val="row-content"/>
                <w:color w:val="244061"/>
              </w:rPr>
              <w:t xml:space="preserve">, Superseded 25/01/2018</w:t>
            </w:r>
          </w:p>
          <w:p>
            <w:pPr>
              <w:spacing w:before="0" w:after="0"/>
            </w:pPr>
            <w:hyperlink w:history="true" r:id="R23260788585d4a18">
              <w:r>
                <w:rPr>
                  <w:rStyle w:val="Hyperlink"/>
                  <w:color w:val="244061"/>
                </w:rPr>
                <w:t xml:space="preserve">Homelessness</w:t>
              </w:r>
            </w:hyperlink>
            <w:r>
              <w:rPr>
                <w:rStyle w:val="row-content"/>
                <w:color w:val="244061"/>
              </w:rPr>
              <w:t xml:space="preserve">, Superseded 10/08/2018</w:t>
            </w:r>
          </w:p>
          <w:p>
            <w:pPr>
              <w:spacing w:before="0" w:after="0"/>
            </w:pPr>
            <w:hyperlink w:history="true" r:id="R519046d7cbf243d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XXXXXDDMMYYYYN</w:t>
            </w:r>
          </w:p>
          <w:p>
            <w:pPr>
              <w:spacing w:after="160"/>
            </w:pPr>
            <w:r>
              <w:rPr>
                <w:rStyle w:val="row-content-rich-text"/>
              </w:rPr>
              <w:t xml:space="preserve">The sequence in which the linkage key is completed is as follows:</w:t>
            </w:r>
          </w:p>
          <w:p>
            <w:pPr>
              <w:spacing w:after="160"/>
            </w:pPr>
            <w:r>
              <w:rPr>
                <w:rStyle w:val="row-content-rich-text"/>
              </w:rPr>
              <w:t xml:space="preserve">Family name (the first 3 Xs)</w:t>
            </w:r>
          </w:p>
          <w:p>
            <w:pPr>
              <w:spacing w:after="160"/>
            </w:pPr>
            <w:r>
              <w:rPr>
                <w:rStyle w:val="row-content-rich-text"/>
              </w:rPr>
              <w:t xml:space="preserve">Given name (the 4th and 5th X)</w:t>
            </w:r>
          </w:p>
          <w:p>
            <w:pPr>
              <w:spacing w:after="160"/>
            </w:pPr>
            <w:r>
              <w:rPr>
                <w:rStyle w:val="row-content-rich-text"/>
              </w:rPr>
              <w:t xml:space="preserve">Date of birth by day, month and four-digit year</w:t>
            </w:r>
          </w:p>
          <w:p>
            <w:pPr>
              <w:spacing w:after="160"/>
            </w:pPr>
            <w:r>
              <w:rPr>
                <w:rStyle w:val="row-content-rich-text"/>
              </w:rPr>
              <w:t xml:space="preserve">Sex </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client’s family name.</w:t>
            </w:r>
          </w:p>
          <w:p>
            <w:pPr>
              <w:spacing w:after="160"/>
            </w:pPr>
            <w:r>
              <w:rPr>
                <w:rStyle w:val="row-content-rich-text"/>
              </w:rPr>
              <w:t xml:space="preserve">For example: If the client’s family name is Smith the reported value should be MIH. If the client’s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given name</w:t>
            </w:r>
          </w:p>
          <w:p>
            <w:pPr>
              <w:spacing w:after="160"/>
            </w:pPr>
            <w:r>
              <w:rPr>
                <w:rStyle w:val="row-content-rich-text"/>
              </w:rPr>
              <w:t xml:space="preserve">In the fourth and fifth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DD represents the day in the month a person was born</w:t>
            </w:r>
          </w:p>
          <w:p>
            <w:pPr>
              <w:spacing w:after="160"/>
            </w:pPr>
            <w:r>
              <w:rPr>
                <w:rStyle w:val="row-content-rich-text"/>
              </w:rPr>
              <w:t xml:space="preserve">MM represents the month in the year a person was born</w:t>
            </w:r>
          </w:p>
          <w:p>
            <w:pPr>
              <w:spacing w:after="160"/>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w:t>
            </w:r>
            <w:hyperlink w:history="true" r:id="Rf0136c020ee24a0c">
              <w:r>
                <w:rPr>
                  <w:rStyle w:val="Hyperlink"/>
                </w:rPr>
                <w:t xml:space="preserve">/content/index.phtml/</w:t>
              </w:r>
              <w:r>
                <w:br/>
              </w:r>
              <w:r>
                <w:rPr>
                  <w:rStyle w:val="row-content-rich-text"/>
                </w:rPr>
                <w:t xml:space="preserve">itemId/294429</w:t>
              </w:r>
            </w:hyperlink>
            <w:r>
              <w:rPr>
                <w:rStyle w:val="row-content-rich-text"/>
              </w:rPr>
              <w:t xml:space="preserve"> 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N represents whether or not the person is a 1. Male or 2. Female.</w:t>
            </w:r>
          </w:p>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3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9     Not stated/inadequately described</w:t>
            </w:r>
          </w:p>
          <w:p>
            <w:pPr>
              <w:spacing w:after="160"/>
            </w:pPr>
            <w:r>
              <w:rPr>
                <w:rStyle w:val="row-content-rich-text"/>
              </w:rPr>
              <w:t xml:space="preserve">Is not to be used on primary collection forms. It is primarily for use in administrative collections when transferring data from data sets where the item has not been collected.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date of birth is estimated the date accuracy indicator should be used. Please see Relational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109b01216c460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NCSIMG 2001. Statistical Data Linkage in Community Services Data Collections.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14ab4b79224b6a">
              <w:r>
                <w:rPr>
                  <w:rStyle w:val="Hyperlink"/>
                </w:rPr>
                <w:t xml:space="preserve">Statistical linkage key 581 cluster</w:t>
              </w:r>
            </w:hyperlink>
          </w:p>
          <w:p>
            <w:pPr>
              <w:spacing w:before="0" w:after="0"/>
            </w:pPr>
            <w:r>
              <w:rPr>
                <w:rStyle w:val="row-content"/>
                <w:color w:val="244061"/>
              </w:rPr>
              <w:t xml:space="preserve">       </w:t>
            </w:r>
            <w:hyperlink w:history="true" r:id="Rf260c83b5a6f4ccd">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7b07dff2e96e4c9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0770f8985074571">
              <w:r>
                <w:rPr>
                  <w:rStyle w:val="Hyperlink"/>
                </w:rPr>
                <w:t xml:space="preserve">Date—accuracy indicator, code AAA</w:t>
              </w:r>
            </w:hyperlink>
          </w:p>
          <w:p>
            <w:pPr>
              <w:spacing w:before="0" w:after="0"/>
            </w:pPr>
            <w:r>
              <w:rPr>
                <w:rStyle w:val="row-content"/>
                <w:color w:val="244061"/>
              </w:rPr>
              <w:t xml:space="preserve">       </w:t>
            </w:r>
            <w:hyperlink w:history="true" r:id="R85d14ceef5e54e8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46bec50ba3e428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79e23fe8bf24b1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5a6bd3405a342e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76096f77e65450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b5c2972a41e4ac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3d372915349ce">
              <w:r>
                <w:rPr>
                  <w:rStyle w:val="Hyperlink"/>
                </w:rPr>
                <w:t xml:space="preserve">Alcohol and other drug treatment services NMDS 2012-13</w:t>
              </w:r>
            </w:hyperlink>
          </w:p>
          <w:p>
            <w:pPr>
              <w:spacing w:before="0" w:after="0"/>
            </w:pPr>
            <w:r>
              <w:rPr>
                <w:rStyle w:val="row-content"/>
                <w:color w:val="244061"/>
              </w:rPr>
              <w:t xml:space="preserve">       </w:t>
            </w:r>
            <w:hyperlink w:history="true" r:id="R4e9a628991464cd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145776b1dd4f7c">
              <w:r>
                <w:rPr>
                  <w:rStyle w:val="Hyperlink"/>
                </w:rPr>
                <w:t xml:space="preserve">Alcohol and other drug treatment services NMDS 2013-15</w:t>
              </w:r>
            </w:hyperlink>
          </w:p>
          <w:p>
            <w:pPr>
              <w:spacing w:before="0" w:after="0"/>
            </w:pPr>
            <w:r>
              <w:rPr>
                <w:rStyle w:val="row-content"/>
                <w:color w:val="244061"/>
              </w:rPr>
              <w:t xml:space="preserve">       </w:t>
            </w:r>
            <w:hyperlink w:history="true" r:id="R105643d4693249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48f82ce12784a69">
              <w:r>
                <w:rPr>
                  <w:rStyle w:val="Hyperlink"/>
                </w:rPr>
                <w:t xml:space="preserve">Alcohol and other drug treatment services NMDS 2015-18</w:t>
              </w:r>
            </w:hyperlink>
          </w:p>
          <w:p>
            <w:pPr>
              <w:spacing w:before="0" w:after="0"/>
            </w:pPr>
            <w:r>
              <w:rPr>
                <w:rStyle w:val="row-content"/>
                <w:color w:val="244061"/>
              </w:rPr>
              <w:t xml:space="preserve">       </w:t>
            </w:r>
            <w:hyperlink w:history="true" r:id="R2a0deadfeb5f468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11c31acbf613495e">
              <w:r>
                <w:rPr>
                  <w:rStyle w:val="Hyperlink"/>
                </w:rPr>
                <w:t xml:space="preserve">Disability services carer details cluster</w:t>
              </w:r>
            </w:hyperlink>
          </w:p>
          <w:p>
            <w:pPr>
              <w:spacing w:before="0" w:after="0"/>
            </w:pPr>
            <w:r>
              <w:rPr>
                <w:rStyle w:val="row-content"/>
                <w:color w:val="244061"/>
              </w:rPr>
              <w:t xml:space="preserve">       </w:t>
            </w:r>
            <w:hyperlink w:history="true" r:id="R8160eb4018444db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82cbdbe9a54ac9">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statistical linkage key cluster of data elements is to be reported once for the carer and once for the recipient of care.</w:t>
            </w:r>
            <w:r>
              <w:br/>
            </w:r>
            <w:r>
              <w:br/>
            </w:r>
            <w:hyperlink w:history="true" r:id="R9d8d4e296f444d7c">
              <w:r>
                <w:rPr>
                  <w:rStyle w:val="Hyperlink"/>
                </w:rPr>
                <w:t xml:space="preserve">Disability services client details cluster</w:t>
              </w:r>
            </w:hyperlink>
          </w:p>
          <w:p>
            <w:pPr>
              <w:spacing w:before="0" w:after="0"/>
            </w:pPr>
            <w:r>
              <w:rPr>
                <w:rStyle w:val="row-content"/>
                <w:color w:val="244061"/>
              </w:rPr>
              <w:t xml:space="preserve">       </w:t>
            </w:r>
            <w:hyperlink w:history="true" r:id="R1e9bea5a6b80461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42866a471b47af">
              <w:r>
                <w:rPr>
                  <w:rStyle w:val="Hyperlink"/>
                  <w:color w:val="244061"/>
                </w:rPr>
                <w:t xml:space="preserve">Disability</w:t>
              </w:r>
            </w:hyperlink>
            <w:r>
              <w:rPr>
                <w:rStyle w:val="row-content"/>
                <w:color w:val="244061"/>
              </w:rPr>
              <w:t xml:space="preserve">, Standard 13/08/2015</w:t>
            </w:r>
          </w:p>
          <w:p>
            <w:r>
              <w:br/>
            </w:r>
            <w:hyperlink w:history="true" r:id="R42c2045f15e24f66">
              <w:r>
                <w:rPr>
                  <w:rStyle w:val="Hyperlink"/>
                </w:rPr>
                <w:t xml:space="preserve">Disability Services NMDS 2012-14</w:t>
              </w:r>
            </w:hyperlink>
          </w:p>
          <w:p>
            <w:pPr>
              <w:spacing w:before="0" w:after="0"/>
            </w:pPr>
            <w:r>
              <w:rPr>
                <w:rStyle w:val="row-content"/>
                <w:color w:val="244061"/>
              </w:rPr>
              <w:t xml:space="preserve">       </w:t>
            </w:r>
            <w:hyperlink w:history="true" r:id="Ra7ed6d871eec458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8fc52b33a2444ab4">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6bec2177905d4353">
              <w:r>
                <w:rPr>
                  <w:rStyle w:val="Hyperlink"/>
                </w:rPr>
                <w:t xml:space="preserve">Disability Services NMDS 2014-15</w:t>
              </w:r>
            </w:hyperlink>
          </w:p>
          <w:p>
            <w:pPr>
              <w:spacing w:before="0" w:after="0"/>
            </w:pPr>
            <w:r>
              <w:rPr>
                <w:rStyle w:val="row-content"/>
                <w:color w:val="244061"/>
              </w:rPr>
              <w:t xml:space="preserve">       </w:t>
            </w:r>
            <w:hyperlink w:history="true" r:id="R44b647944a83400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 (see Disability Services NMDS 2014–15 data guide).</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6c8ef5b20e5749f1">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5008b00b5072466c">
              <w:r>
                <w:rPr>
                  <w:rStyle w:val="Hyperlink"/>
                </w:rPr>
                <w:t xml:space="preserve">Disability Services NMDS 2015–16</w:t>
              </w:r>
            </w:hyperlink>
          </w:p>
          <w:p>
            <w:pPr>
              <w:spacing w:before="0" w:after="0"/>
            </w:pPr>
            <w:r>
              <w:rPr>
                <w:rStyle w:val="row-content"/>
                <w:color w:val="244061"/>
              </w:rPr>
              <w:t xml:space="preserve">       </w:t>
            </w:r>
            <w:hyperlink w:history="true" r:id="Re9c0f24eca8c409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93b03ed75ab944f1">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0bd9333a91574e65">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232891504d7b4576">
              <w:r>
                <w:rPr>
                  <w:rStyle w:val="Hyperlink"/>
                </w:rPr>
                <w:t xml:space="preserve">Disability Services NMDS 2016–17</w:t>
              </w:r>
            </w:hyperlink>
          </w:p>
          <w:p>
            <w:pPr>
              <w:spacing w:before="0" w:after="0"/>
            </w:pPr>
            <w:r>
              <w:rPr>
                <w:rStyle w:val="row-content"/>
                <w:color w:val="244061"/>
              </w:rPr>
              <w:t xml:space="preserve">       </w:t>
            </w:r>
            <w:hyperlink w:history="true" r:id="R81018a785dbe44a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84b95583519a4ecf">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531d1bbde68a4373">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b5ec05ce049a4815">
              <w:r>
                <w:rPr>
                  <w:rStyle w:val="Hyperlink"/>
                </w:rPr>
                <w:t xml:space="preserve">Disability Services NMDS 2017–18</w:t>
              </w:r>
            </w:hyperlink>
          </w:p>
          <w:p>
            <w:pPr>
              <w:spacing w:before="0" w:after="0"/>
            </w:pPr>
            <w:r>
              <w:rPr>
                <w:rStyle w:val="row-content"/>
                <w:color w:val="244061"/>
              </w:rPr>
              <w:t xml:space="preserve">       </w:t>
            </w:r>
            <w:hyperlink w:history="true" r:id="Rd0992ee8d52c46e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de816fb350f647be">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507835a14005428e">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b73e02a516a1409c">
              <w:r>
                <w:rPr>
                  <w:rStyle w:val="Hyperlink"/>
                </w:rPr>
                <w:t xml:space="preserve">Disability Services NMDS 2018–19</w:t>
              </w:r>
            </w:hyperlink>
          </w:p>
          <w:p>
            <w:pPr>
              <w:spacing w:before="0" w:after="0"/>
            </w:pPr>
            <w:r>
              <w:rPr>
                <w:rStyle w:val="row-content"/>
                <w:color w:val="244061"/>
              </w:rPr>
              <w:t xml:space="preserve">       </w:t>
            </w:r>
            <w:hyperlink w:history="true" r:id="Rdb703d13e7cd471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6484698ae21d427a">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c57e37af33584a18">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2f694cc2855e4e3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2b42ae4558e149c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78b1b3c5a9144ad">
              <w:r>
                <w:rPr>
                  <w:rStyle w:val="Hyperlink"/>
                </w:rPr>
                <w:t xml:space="preserve">Public rental housing DSS 2017-18</w:t>
              </w:r>
            </w:hyperlink>
          </w:p>
          <w:p>
            <w:pPr>
              <w:spacing w:before="0" w:after="0"/>
            </w:pPr>
            <w:r>
              <w:rPr>
                <w:rStyle w:val="row-content"/>
                <w:color w:val="244061"/>
              </w:rPr>
              <w:t xml:space="preserve">       </w:t>
            </w:r>
            <w:hyperlink w:history="true" r:id="R540187af0fed49dc">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4f38b4bd3d4c7a">
              <w:r>
                <w:rPr>
                  <w:rStyle w:val="Hyperlink"/>
                </w:rPr>
                <w:t xml:space="preserve">Specialist Homelessness Services NMDS 2011</w:t>
              </w:r>
            </w:hyperlink>
          </w:p>
          <w:p>
            <w:pPr>
              <w:spacing w:before="0" w:after="0"/>
            </w:pPr>
            <w:r>
              <w:rPr>
                <w:rStyle w:val="row-content"/>
                <w:color w:val="244061"/>
              </w:rPr>
              <w:t xml:space="preserve">       </w:t>
            </w:r>
            <w:hyperlink w:history="true" r:id="Ra43fb108b03f46d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a6797c9c27a4e9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fbfbd66c8cc34a0d">
              <w:r>
                <w:rPr>
                  <w:rStyle w:val="Hyperlink"/>
                </w:rPr>
                <w:t xml:space="preserve">Specialist Homelessness Services NMDS 2012-13</w:t>
              </w:r>
            </w:hyperlink>
          </w:p>
          <w:p>
            <w:pPr>
              <w:spacing w:before="0" w:after="0"/>
            </w:pPr>
            <w:r>
              <w:rPr>
                <w:rStyle w:val="row-content"/>
                <w:color w:val="244061"/>
              </w:rPr>
              <w:t xml:space="preserve">       </w:t>
            </w:r>
            <w:hyperlink w:history="true" r:id="R1d5583f1d63f499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d2482f53fc145c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68e3021888fc46ce">
              <w:r>
                <w:rPr>
                  <w:rStyle w:val="Hyperlink"/>
                </w:rPr>
                <w:t xml:space="preserve">Specialist Homelessness Services NMDS 2013-14</w:t>
              </w:r>
            </w:hyperlink>
          </w:p>
          <w:p>
            <w:pPr>
              <w:spacing w:before="0" w:after="0"/>
            </w:pPr>
            <w:r>
              <w:rPr>
                <w:rStyle w:val="row-content"/>
                <w:color w:val="244061"/>
              </w:rPr>
              <w:t xml:space="preserve">       </w:t>
            </w:r>
            <w:hyperlink w:history="true" r:id="R37b3d47f46dc42f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3be3e08146a4ba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3e4dc1b3ff864ba0">
              <w:r>
                <w:rPr>
                  <w:rStyle w:val="Hyperlink"/>
                </w:rPr>
                <w:t xml:space="preserve">Specialist Homelessness Services NMDS 2014-15</w:t>
              </w:r>
            </w:hyperlink>
          </w:p>
          <w:p>
            <w:pPr>
              <w:spacing w:before="0" w:after="0"/>
            </w:pPr>
            <w:r>
              <w:rPr>
                <w:rStyle w:val="row-content"/>
                <w:color w:val="244061"/>
              </w:rPr>
              <w:t xml:space="preserve">       </w:t>
            </w:r>
            <w:hyperlink w:history="true" r:id="R15ab013f9b1a49a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eb9967e44b04ca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bec326a524844ff0">
              <w:r>
                <w:rPr>
                  <w:rStyle w:val="Hyperlink"/>
                </w:rPr>
                <w:t xml:space="preserve">Specialist Homelessness Services NMDS 2015-17</w:t>
              </w:r>
            </w:hyperlink>
          </w:p>
          <w:p>
            <w:pPr>
              <w:spacing w:before="0" w:after="0"/>
            </w:pPr>
            <w:r>
              <w:rPr>
                <w:rStyle w:val="row-content"/>
                <w:color w:val="244061"/>
              </w:rPr>
              <w:t xml:space="preserve">       </w:t>
            </w:r>
            <w:hyperlink w:history="true" r:id="Rba427eb6cdb040d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aae8cb5d48794699">
              <w:r>
                <w:rPr>
                  <w:rStyle w:val="Hyperlink"/>
                </w:rPr>
                <w:t xml:space="preserve">Specialist Homelessness Services NMDS 2017-19</w:t>
              </w:r>
            </w:hyperlink>
          </w:p>
          <w:p>
            <w:pPr>
              <w:spacing w:before="0" w:after="0"/>
            </w:pPr>
            <w:r>
              <w:rPr>
                <w:rStyle w:val="row-content"/>
                <w:color w:val="244061"/>
              </w:rPr>
              <w:t xml:space="preserve">       </w:t>
            </w:r>
            <w:hyperlink w:history="true" r:id="R8b8535d4326a4ee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55332c5f13f347d6">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6b7539fc40a4d65">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2d41661327a483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0e7de97f684ee3">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30ed4bb1d7400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26bf71506540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51f5f9b3dc148f6">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1f5eb0e7e65498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d3099d21c3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cf5a8a7c9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3099d21c34e09" /><Relationship Type="http://schemas.openxmlformats.org/officeDocument/2006/relationships/header" Target="/word/header1.xml" Id="R167d33e558404d4c" /><Relationship Type="http://schemas.openxmlformats.org/officeDocument/2006/relationships/settings" Target="/word/settings.xml" Id="R2e0ec3c88b9a4627" /><Relationship Type="http://schemas.openxmlformats.org/officeDocument/2006/relationships/styles" Target="/word/styles.xml" Id="R9b083fa4a3f24cdc" /><Relationship Type="http://schemas.openxmlformats.org/officeDocument/2006/relationships/hyperlink" Target="https://meteor.aihw.gov.au/RegistrationAuthority/1" TargetMode="External" Id="Rd21d09ac488e4110" /><Relationship Type="http://schemas.openxmlformats.org/officeDocument/2006/relationships/hyperlink" Target="https://meteor.aihw.gov.au/RegistrationAuthority/16" TargetMode="External" Id="R43d14fb552d443cc" /><Relationship Type="http://schemas.openxmlformats.org/officeDocument/2006/relationships/hyperlink" Target="https://meteor.aihw.gov.au/RegistrationAuthority/13" TargetMode="External" Id="Rc95e56df0d43453c" /><Relationship Type="http://schemas.openxmlformats.org/officeDocument/2006/relationships/hyperlink" Target="https://meteor.aihw.gov.au/RegistrationAuthority/12" TargetMode="External" Id="R58a8c070c9bb47a9" /><Relationship Type="http://schemas.openxmlformats.org/officeDocument/2006/relationships/hyperlink" Target="https://meteor.aihw.gov.au/RegistrationAuthority/14" TargetMode="External" Id="R23260788585d4a18" /><Relationship Type="http://schemas.openxmlformats.org/officeDocument/2006/relationships/hyperlink" Target="https://meteor.aihw.gov.au/RegistrationAuthority/11" TargetMode="External" Id="R519046d7cbf243d4" /><Relationship Type="http://schemas.openxmlformats.org/officeDocument/2006/relationships/hyperlink" Target="https://meteor.aihw.gov.au/content/294429" TargetMode="External" Id="Rf0136c020ee24a0c" /><Relationship Type="http://schemas.openxmlformats.org/officeDocument/2006/relationships/hyperlink" Target="https://meteor.aihw.gov.au/content/246013" TargetMode="External" Id="R39109b01216c460d" /><Relationship Type="http://schemas.openxmlformats.org/officeDocument/2006/relationships/hyperlink" Target="https://meteor.aihw.gov.au/content/686238" TargetMode="External" Id="Rcb14ab4b79224b6a" /><Relationship Type="http://schemas.openxmlformats.org/officeDocument/2006/relationships/hyperlink" Target="https://meteor.aihw.gov.au/RegistrationAuthority/12" TargetMode="External" Id="Rf260c83b5a6f4ccd" /><Relationship Type="http://schemas.openxmlformats.org/officeDocument/2006/relationships/hyperlink" Target="https://meteor.aihw.gov.au/RegistrationAuthority/14" TargetMode="External" Id="R7b07dff2e96e4c97" /><Relationship Type="http://schemas.openxmlformats.org/officeDocument/2006/relationships/hyperlink" Target="https://meteor.aihw.gov.au/content/294429" TargetMode="External" Id="Re0770f8985074571" /><Relationship Type="http://schemas.openxmlformats.org/officeDocument/2006/relationships/hyperlink" Target="https://meteor.aihw.gov.au/RegistrationAuthority/1" TargetMode="External" Id="R85d14ceef5e54e89" /><Relationship Type="http://schemas.openxmlformats.org/officeDocument/2006/relationships/hyperlink" Target="https://meteor.aihw.gov.au/RegistrationAuthority/16" TargetMode="External" Id="R146bec50ba3e4281" /><Relationship Type="http://schemas.openxmlformats.org/officeDocument/2006/relationships/hyperlink" Target="https://meteor.aihw.gov.au/RegistrationAuthority/13" TargetMode="External" Id="Re79e23fe8bf24b1a" /><Relationship Type="http://schemas.openxmlformats.org/officeDocument/2006/relationships/hyperlink" Target="https://meteor.aihw.gov.au/RegistrationAuthority/12" TargetMode="External" Id="Rd5a6bd3405a342e2" /><Relationship Type="http://schemas.openxmlformats.org/officeDocument/2006/relationships/hyperlink" Target="https://meteor.aihw.gov.au/RegistrationAuthority/14" TargetMode="External" Id="Re76096f77e654501" /><Relationship Type="http://schemas.openxmlformats.org/officeDocument/2006/relationships/hyperlink" Target="https://meteor.aihw.gov.au/RegistrationAuthority/11" TargetMode="External" Id="Reb5c2972a41e4ac9" /><Relationship Type="http://schemas.openxmlformats.org/officeDocument/2006/relationships/hyperlink" Target="https://meteor.aihw.gov.au/content/466861" TargetMode="External" Id="Rc373d372915349ce" /><Relationship Type="http://schemas.openxmlformats.org/officeDocument/2006/relationships/hyperlink" Target="https://meteor.aihw.gov.au/RegistrationAuthority/12" TargetMode="External" Id="R4e9a628991464cd2" /><Relationship Type="http://schemas.openxmlformats.org/officeDocument/2006/relationships/hyperlink" Target="https://meteor.aihw.gov.au/content/498901" TargetMode="External" Id="Rb9145776b1dd4f7c" /><Relationship Type="http://schemas.openxmlformats.org/officeDocument/2006/relationships/hyperlink" Target="https://meteor.aihw.gov.au/RegistrationAuthority/12" TargetMode="External" Id="R105643d469324984" /><Relationship Type="http://schemas.openxmlformats.org/officeDocument/2006/relationships/hyperlink" Target="https://meteor.aihw.gov.au/content/583090" TargetMode="External" Id="Ra48f82ce12784a69" /><Relationship Type="http://schemas.openxmlformats.org/officeDocument/2006/relationships/hyperlink" Target="https://meteor.aihw.gov.au/RegistrationAuthority/12" TargetMode="External" Id="R2a0deadfeb5f4685" /><Relationship Type="http://schemas.openxmlformats.org/officeDocument/2006/relationships/hyperlink" Target="https://meteor.aihw.gov.au/content/484552" TargetMode="External" Id="R11c31acbf613495e" /><Relationship Type="http://schemas.openxmlformats.org/officeDocument/2006/relationships/hyperlink" Target="https://meteor.aihw.gov.au/RegistrationAuthority/1" TargetMode="External" Id="R8160eb4018444db9" /><Relationship Type="http://schemas.openxmlformats.org/officeDocument/2006/relationships/hyperlink" Target="https://meteor.aihw.gov.au/RegistrationAuthority/16" TargetMode="External" Id="R6482cbdbe9a54ac9" /><Relationship Type="http://schemas.openxmlformats.org/officeDocument/2006/relationships/hyperlink" Target="https://meteor.aihw.gov.au/content/484543" TargetMode="External" Id="R9d8d4e296f444d7c" /><Relationship Type="http://schemas.openxmlformats.org/officeDocument/2006/relationships/hyperlink" Target="https://meteor.aihw.gov.au/RegistrationAuthority/1" TargetMode="External" Id="R1e9bea5a6b804619" /><Relationship Type="http://schemas.openxmlformats.org/officeDocument/2006/relationships/hyperlink" Target="https://meteor.aihw.gov.au/RegistrationAuthority/16" TargetMode="External" Id="R5b42866a471b47af" /><Relationship Type="http://schemas.openxmlformats.org/officeDocument/2006/relationships/hyperlink" Target="https://meteor.aihw.gov.au/content/461640" TargetMode="External" Id="R42c2045f15e24f66" /><Relationship Type="http://schemas.openxmlformats.org/officeDocument/2006/relationships/hyperlink" Target="https://meteor.aihw.gov.au/RegistrationAuthority/1" TargetMode="External" Id="Ra7ed6d871eec4585" /><Relationship Type="http://schemas.openxmlformats.org/officeDocument/2006/relationships/hyperlink" Target="https://meteor.aihw.gov.au/content/501973" TargetMode="External" Id="R8fc52b33a2444ab4" /><Relationship Type="http://schemas.openxmlformats.org/officeDocument/2006/relationships/hyperlink" Target="https://meteor.aihw.gov.au/content/569749" TargetMode="External" Id="R6bec2177905d4353" /><Relationship Type="http://schemas.openxmlformats.org/officeDocument/2006/relationships/hyperlink" Target="https://meteor.aihw.gov.au/RegistrationAuthority/16" TargetMode="External" Id="R44b647944a834007" /><Relationship Type="http://schemas.openxmlformats.org/officeDocument/2006/relationships/hyperlink" Target="https://meteor.aihw.gov.au/content/501973" TargetMode="External" Id="R6c8ef5b20e5749f1" /><Relationship Type="http://schemas.openxmlformats.org/officeDocument/2006/relationships/hyperlink" Target="https://meteor.aihw.gov.au/content/617391" TargetMode="External" Id="R5008b00b5072466c" /><Relationship Type="http://schemas.openxmlformats.org/officeDocument/2006/relationships/hyperlink" Target="https://meteor.aihw.gov.au/RegistrationAuthority/16" TargetMode="External" Id="Re9c0f24eca8c4093" /><Relationship Type="http://schemas.openxmlformats.org/officeDocument/2006/relationships/hyperlink" Target="https://meteor.aihw.gov.au/content/501973" TargetMode="External" Id="R93b03ed75ab944f1" /><Relationship Type="http://schemas.openxmlformats.org/officeDocument/2006/relationships/hyperlink" Target="https://meteor.aihw.gov.au/content/294429" TargetMode="External" Id="R0bd9333a91574e65" /><Relationship Type="http://schemas.openxmlformats.org/officeDocument/2006/relationships/hyperlink" Target="https://meteor.aihw.gov.au/content/637867" TargetMode="External" Id="R232891504d7b4576" /><Relationship Type="http://schemas.openxmlformats.org/officeDocument/2006/relationships/hyperlink" Target="https://meteor.aihw.gov.au/RegistrationAuthority/16" TargetMode="External" Id="R81018a785dbe44ad" /><Relationship Type="http://schemas.openxmlformats.org/officeDocument/2006/relationships/hyperlink" Target="https://meteor.aihw.gov.au/content/501973" TargetMode="External" Id="R84b95583519a4ecf" /><Relationship Type="http://schemas.openxmlformats.org/officeDocument/2006/relationships/hyperlink" Target="https://meteor.aihw.gov.au/content/294429" TargetMode="External" Id="R531d1bbde68a4373" /><Relationship Type="http://schemas.openxmlformats.org/officeDocument/2006/relationships/hyperlink" Target="https://meteor.aihw.gov.au/content/664954" TargetMode="External" Id="Rb5ec05ce049a4815" /><Relationship Type="http://schemas.openxmlformats.org/officeDocument/2006/relationships/hyperlink" Target="https://meteor.aihw.gov.au/RegistrationAuthority/16" TargetMode="External" Id="Rd0992ee8d52c46e7" /><Relationship Type="http://schemas.openxmlformats.org/officeDocument/2006/relationships/hyperlink" Target="https://meteor.aihw.gov.au/content/501973" TargetMode="External" Id="Rde816fb350f647be" /><Relationship Type="http://schemas.openxmlformats.org/officeDocument/2006/relationships/hyperlink" Target="https://meteor.aihw.gov.au/content/294429" TargetMode="External" Id="R507835a14005428e" /><Relationship Type="http://schemas.openxmlformats.org/officeDocument/2006/relationships/hyperlink" Target="https://meteor.aihw.gov.au/content/698074" TargetMode="External" Id="Rb73e02a516a1409c" /><Relationship Type="http://schemas.openxmlformats.org/officeDocument/2006/relationships/hyperlink" Target="https://meteor.aihw.gov.au/RegistrationAuthority/16" TargetMode="External" Id="Rdb703d13e7cd471a" /><Relationship Type="http://schemas.openxmlformats.org/officeDocument/2006/relationships/hyperlink" Target="https://meteor.aihw.gov.au/content/501973" TargetMode="External" Id="R6484698ae21d427a" /><Relationship Type="http://schemas.openxmlformats.org/officeDocument/2006/relationships/hyperlink" Target="https://meteor.aihw.gov.au/content/294429" TargetMode="External" Id="Rc57e37af33584a18" /><Relationship Type="http://schemas.openxmlformats.org/officeDocument/2006/relationships/hyperlink" Target="https://meteor.aihw.gov.au/content/396792" TargetMode="External" Id="R2f694cc2855e4e3e" /><Relationship Type="http://schemas.openxmlformats.org/officeDocument/2006/relationships/hyperlink" Target="https://meteor.aihw.gov.au/RegistrationAuthority/13" TargetMode="External" Id="R2b42ae4558e149cc" /><Relationship Type="http://schemas.openxmlformats.org/officeDocument/2006/relationships/hyperlink" Target="https://meteor.aihw.gov.au/content/687107" TargetMode="External" Id="Ra78b1b3c5a9144ad" /><Relationship Type="http://schemas.openxmlformats.org/officeDocument/2006/relationships/hyperlink" Target="https://meteor.aihw.gov.au/RegistrationAuthority/11" TargetMode="External" Id="R540187af0fed49dc" /><Relationship Type="http://schemas.openxmlformats.org/officeDocument/2006/relationships/hyperlink" Target="https://meteor.aihw.gov.au/content/398238" TargetMode="External" Id="R1a4f38b4bd3d4c7a" /><Relationship Type="http://schemas.openxmlformats.org/officeDocument/2006/relationships/hyperlink" Target="https://meteor.aihw.gov.au/RegistrationAuthority/14" TargetMode="External" Id="Ra43fb108b03f46d7" /><Relationship Type="http://schemas.openxmlformats.org/officeDocument/2006/relationships/hyperlink" Target="https://meteor.aihw.gov.au/RegistrationAuthority/11" TargetMode="External" Id="R4a6797c9c27a4e90" /><Relationship Type="http://schemas.openxmlformats.org/officeDocument/2006/relationships/hyperlink" Target="https://meteor.aihw.gov.au/content/508954" TargetMode="External" Id="Rfbfbd66c8cc34a0d" /><Relationship Type="http://schemas.openxmlformats.org/officeDocument/2006/relationships/hyperlink" Target="https://meteor.aihw.gov.au/RegistrationAuthority/14" TargetMode="External" Id="R1d5583f1d63f4994" /><Relationship Type="http://schemas.openxmlformats.org/officeDocument/2006/relationships/hyperlink" Target="https://meteor.aihw.gov.au/RegistrationAuthority/11" TargetMode="External" Id="R7d2482f53fc145c8" /><Relationship Type="http://schemas.openxmlformats.org/officeDocument/2006/relationships/hyperlink" Target="https://meteor.aihw.gov.au/content/505626" TargetMode="External" Id="R68e3021888fc46ce" /><Relationship Type="http://schemas.openxmlformats.org/officeDocument/2006/relationships/hyperlink" Target="https://meteor.aihw.gov.au/RegistrationAuthority/14" TargetMode="External" Id="R37b3d47f46dc42f9" /><Relationship Type="http://schemas.openxmlformats.org/officeDocument/2006/relationships/hyperlink" Target="https://meteor.aihw.gov.au/RegistrationAuthority/11" TargetMode="External" Id="R73be3e08146a4ba0" /><Relationship Type="http://schemas.openxmlformats.org/officeDocument/2006/relationships/hyperlink" Target="https://meteor.aihw.gov.au/content/581255" TargetMode="External" Id="R3e4dc1b3ff864ba0" /><Relationship Type="http://schemas.openxmlformats.org/officeDocument/2006/relationships/hyperlink" Target="https://meteor.aihw.gov.au/RegistrationAuthority/14" TargetMode="External" Id="R15ab013f9b1a49a7" /><Relationship Type="http://schemas.openxmlformats.org/officeDocument/2006/relationships/hyperlink" Target="https://meteor.aihw.gov.au/RegistrationAuthority/11" TargetMode="External" Id="Rfeb9967e44b04ca4" /><Relationship Type="http://schemas.openxmlformats.org/officeDocument/2006/relationships/hyperlink" Target="https://meteor.aihw.gov.au/content/658005" TargetMode="External" Id="Rbec326a524844ff0" /><Relationship Type="http://schemas.openxmlformats.org/officeDocument/2006/relationships/hyperlink" Target="https://meteor.aihw.gov.au/RegistrationAuthority/14" TargetMode="External" Id="Rba427eb6cdb040da" /><Relationship Type="http://schemas.openxmlformats.org/officeDocument/2006/relationships/hyperlink" Target="https://meteor.aihw.gov.au/content/650006" TargetMode="External" Id="Raae8cb5d48794699" /><Relationship Type="http://schemas.openxmlformats.org/officeDocument/2006/relationships/hyperlink" Target="https://meteor.aihw.gov.au/RegistrationAuthority/14" TargetMode="External" Id="R8b8535d4326a4eee" /><Relationship Type="http://schemas.openxmlformats.org/officeDocument/2006/relationships/hyperlink" Target="https://meteor.aihw.gov.au/content/687084" TargetMode="External" Id="R55332c5f13f347d6" /><Relationship Type="http://schemas.openxmlformats.org/officeDocument/2006/relationships/hyperlink" Target="https://meteor.aihw.gov.au/RegistrationAuthority/11" TargetMode="External" Id="R46b7539fc40a4d65" /><Relationship Type="http://schemas.openxmlformats.org/officeDocument/2006/relationships/hyperlink" Target="https://meteor.aihw.gov.au/content/349481" TargetMode="External" Id="R22d41661327a4837" /><Relationship Type="http://schemas.openxmlformats.org/officeDocument/2006/relationships/hyperlink" Target="https://meteor.aihw.gov.au/content/349483" TargetMode="External" Id="Rb10e7de97f684ee3" /><Relationship Type="http://schemas.openxmlformats.org/officeDocument/2006/relationships/hyperlink" Target="https://meteor.aihw.gov.au/content/287007" TargetMode="External" Id="R3530ed4bb1d74003" /><Relationship Type="http://schemas.openxmlformats.org/officeDocument/2006/relationships/hyperlink" Target="https://meteor.aihw.gov.au/content/287316" TargetMode="External" Id="Rcc26bf7150654064" /><Relationship Type="http://schemas.openxmlformats.org/officeDocument/2006/relationships/hyperlink" Target="https://meteor.aihw.gov.au/content/349895" TargetMode="External" Id="R251f5f9b3dc148f6" /><Relationship Type="http://schemas.openxmlformats.org/officeDocument/2006/relationships/hyperlink" Target="https://meteor.aihw.gov.au/content/294429" TargetMode="External" Id="R71f5eb0e7e654981" /></Relationships>
</file>

<file path=word/_rels/header1.xml.rels>&#65279;<?xml version="1.0" encoding="utf-8"?><Relationships xmlns="http://schemas.openxmlformats.org/package/2006/relationships"><Relationship Type="http://schemas.openxmlformats.org/officeDocument/2006/relationships/image" Target="/media/image.png" Id="Reeccf5a8a7c94470" /></Relationships>
</file>