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049d5d4854a97"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6c03232924fcf">
              <w:r>
                <w:rPr>
                  <w:rStyle w:val="Hyperlink"/>
                  <w:color w:val="244061"/>
                </w:rPr>
                <w:t xml:space="preserve">Community Services (retired)</w:t>
              </w:r>
            </w:hyperlink>
            <w:r>
              <w:rPr>
                <w:rStyle w:val="row-content"/>
                <w:color w:val="244061"/>
              </w:rPr>
              <w:t xml:space="preserve">, Superseded 23/08/2010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presented to a SAAP agency in order to seek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8f62ef6d84c7c">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70001571f4a85">
              <w:r>
                <w:rPr>
                  <w:rStyle w:val="Hyperlink"/>
                </w:rPr>
                <w:t xml:space="preserve">Reasons for seeking SAAP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Interpersonal relationships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conflict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Physical/emotional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Budgeting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Rent too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financial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Overcrowding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Eviction/asked to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Emergency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Health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Problematic drug/alcohol/substance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reasons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Gay/lesbian/transgender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Recently left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Recent arrival to area with no means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Time out from family/other situation</w:t>
            </w:r>
          </w:p>
          <w:p>
            <w:pPr>
              <w:spacing w:after="160"/>
            </w:pPr>
            <w:r>
              <w:rPr>
                <w:rStyle w:val="row-content-rich-text"/>
              </w:rPr>
              <w:t xml:space="preserve">Time out from family/other situation is selected if the client needed some time away from her/his family or if the client needed some time away from non-related individuals.</w:t>
            </w:r>
          </w:p>
          <w:p>
            <w:pPr>
              <w:spacing w:after="160"/>
            </w:pPr>
            <w:r>
              <w:rPr>
                <w:rStyle w:val="row-content-rich-text"/>
              </w:rPr>
              <w:t xml:space="preserve">CODE 3 Relationship/family breakdown</w:t>
            </w:r>
          </w:p>
          <w:p>
            <w:pPr>
              <w:spacing w:after="160"/>
            </w:pPr>
            <w:r>
              <w:rPr>
                <w:rStyle w:val="row-content-rich-text"/>
              </w:rPr>
              <w:t xml:space="preserve">Relationship/family breakdown is used if the client sought assistance because of the dissolution of a spouse/partner relationship or other family relationship. Homelessness as a result of the death of a family member should be recorded under </w:t>
            </w:r>
            <w:r>
              <w:rPr>
                <w:rStyle w:val="row-content-rich-text"/>
                <w:i/>
              </w:rPr>
              <w:t xml:space="preserve">other</w:t>
            </w:r>
            <w:r>
              <w:rPr>
                <w:rStyle w:val="row-content-rich-text"/>
              </w:rPr>
              <w:t xml:space="preserve"> by writing ‘Bereavement/death in the family’.</w:t>
            </w:r>
          </w:p>
          <w:p>
            <w:pPr>
              <w:spacing w:after="160"/>
            </w:pPr>
            <w:r>
              <w:rPr>
                <w:rStyle w:val="row-content-rich-text"/>
              </w:rPr>
              <w:t xml:space="preserve">CODE 4 Interpersonal conflict</w:t>
            </w:r>
          </w:p>
          <w:p>
            <w:pPr>
              <w:spacing w:after="160"/>
            </w:pPr>
            <w:r>
              <w:rPr>
                <w:rStyle w:val="row-content-rich-text"/>
              </w:rPr>
              <w:t xml:space="preserve">Interpersonal conflict is selected if the client sought assistance because of interpersonal conflicts with either family members or non-related individuals.</w:t>
            </w:r>
          </w:p>
          <w:p>
            <w:pPr>
              <w:spacing w:after="160"/>
            </w:pPr>
            <w:r>
              <w:rPr>
                <w:rStyle w:val="row-content-rich-text"/>
              </w:rPr>
              <w:t xml:space="preserve">CODE 5 Physical/emotional abuse</w:t>
            </w:r>
          </w:p>
          <w:p>
            <w:pPr>
              <w:spacing w:after="160"/>
            </w:pPr>
            <w:r>
              <w:rPr>
                <w:rStyle w:val="row-content-rich-text"/>
              </w:rPr>
              <w:t xml:space="preserve">Physical/emotional abuse is used if the client sought assistance as a result of physical or emotional abuse inflicted on the client by a non-related individual.</w:t>
            </w:r>
          </w:p>
          <w:p>
            <w:pPr>
              <w:spacing w:after="160"/>
            </w:pPr>
            <w:r>
              <w:rPr>
                <w:rStyle w:val="row-content-rich-text"/>
              </w:rPr>
              <w:t xml:space="preserve">CODE 6 Domestic/family violence</w:t>
            </w:r>
          </w:p>
          <w:p>
            <w:pPr>
              <w:spacing w:after="160"/>
            </w:pPr>
            <w:r>
              <w:rPr>
                <w:rStyle w:val="row-content-rich-text"/>
              </w:rPr>
              <w:t xml:space="preserve">Domestic/family violence is selected if the client sought assistance as a result of physical or emotional abuse inflicted on the client by a family member.</w:t>
            </w:r>
          </w:p>
          <w:p>
            <w:pPr>
              <w:spacing w:after="160"/>
            </w:pPr>
            <w:r>
              <w:rPr>
                <w:rStyle w:val="row-content-rich-text"/>
              </w:rPr>
              <w:t xml:space="preserve">CODE 7 Sexual abuse</w:t>
            </w:r>
          </w:p>
          <w:p>
            <w:pPr>
              <w:spacing w:after="160"/>
            </w:pPr>
            <w:r>
              <w:rPr>
                <w:rStyle w:val="row-content-rich-text"/>
              </w:rPr>
              <w:t xml:space="preserve">Sexual abuse should is used if the client sought assistance as a result of sexual abuse inflicted on the client by a family member or non-related individual.</w:t>
            </w:r>
          </w:p>
          <w:p>
            <w:pPr>
              <w:spacing w:after="160"/>
            </w:pPr>
            <w:r>
              <w:rPr>
                <w:rStyle w:val="row-content-rich-text"/>
              </w:rPr>
              <w:t xml:space="preserve">CODE 10 Problematic drug/alcohol/substance abuse</w:t>
            </w:r>
          </w:p>
          <w:p>
            <w:pPr>
              <w:spacing w:after="160"/>
            </w:pPr>
            <w:r>
              <w:rPr>
                <w:rStyle w:val="row-content-rich-text"/>
              </w:rPr>
              <w:t xml:space="preserve">Problematic drug/alcohol/substance use is used if the client sought assistance as a result of his/her drug or alcohol related problem. This does not include a situation in which the client sought assistance as a result of drug or alcohol abuse by another person.</w:t>
            </w:r>
          </w:p>
          <w:p>
            <w:pPr>
              <w:spacing w:after="160"/>
            </w:pPr>
            <w:r>
              <w:rPr>
                <w:rStyle w:val="row-content-rich-text"/>
              </w:rPr>
              <w:t xml:space="preserve">CODE 11 Emergency accommodation ended</w:t>
            </w:r>
          </w:p>
          <w:p>
            <w:pPr>
              <w:spacing w:after="160"/>
            </w:pPr>
            <w:r>
              <w:rPr>
                <w:rStyle w:val="row-content-rich-text"/>
              </w:rPr>
              <w:t xml:space="preserve">Emergency accommodation ended is selected if the client was required to leave the emergency accommodation (including SAAP accommodation) at which s/he was previously staying. </w:t>
            </w:r>
          </w:p>
          <w:p>
            <w:pPr>
              <w:spacing w:after="160"/>
            </w:pPr>
            <w:r>
              <w:rPr>
                <w:rStyle w:val="row-content-rich-text"/>
              </w:rPr>
              <w:t xml:space="preserve">CODE 12 Recently left institution</w:t>
            </w:r>
          </w:p>
          <w:p>
            <w:pPr>
              <w:spacing w:after="160"/>
            </w:pPr>
            <w:r>
              <w:rPr>
                <w:rStyle w:val="row-content-rich-text"/>
              </w:rPr>
              <w:t xml:space="preserve">Recently left institution is used if the client was recently released from prison, a detention centre, a hospital or other institution.</w:t>
            </w:r>
          </w:p>
          <w:p>
            <w:pPr>
              <w:spacing w:after="160"/>
            </w:pPr>
            <w:r>
              <w:rPr>
                <w:rStyle w:val="row-content-rich-text"/>
              </w:rPr>
              <w:t xml:space="preserve">CODE 13 Psychiatric illness</w:t>
            </w:r>
          </w:p>
          <w:p>
            <w:pPr>
              <w:spacing w:after="160"/>
            </w:pPr>
            <w:r>
              <w:rPr>
                <w:rStyle w:val="row-content-rich-text"/>
              </w:rPr>
              <w:t xml:space="preserve">Psychiatric illness is selected if the client sought assistance as a result of his/her diagnosed psychiatric problem. This does not include a situation in which the client sought assistance as a result of another person’s psychiatric problem.</w:t>
            </w:r>
          </w:p>
          <w:p>
            <w:pPr>
              <w:spacing w:after="160"/>
            </w:pPr>
            <w:r>
              <w:rPr>
                <w:rStyle w:val="row-content-rich-text"/>
              </w:rPr>
              <w:t xml:space="preserve">CODE 14 Recent arrival to area with no means of support</w:t>
            </w:r>
          </w:p>
          <w:p>
            <w:pPr>
              <w:spacing w:after="160"/>
            </w:pPr>
            <w:r>
              <w:rPr>
                <w:rStyle w:val="row-content-rich-text"/>
              </w:rPr>
              <w:t xml:space="preserve">Recent arrival to area with no means of support is selected if the client sought assistance because s/he recently arrived in the area (from another town or another country) and had nowhere to stay.</w:t>
            </w:r>
          </w:p>
          <w:p>
            <w:pPr>
              <w:spacing w:after="160"/>
            </w:pPr>
            <w:r>
              <w:rPr>
                <w:rStyle w:val="row-content-rich-text"/>
              </w:rPr>
              <w:t xml:space="preserve">CODE 15 Itinerant</w:t>
            </w:r>
          </w:p>
          <w:p>
            <w:pPr>
              <w:spacing w:after="160"/>
            </w:pPr>
            <w:r>
              <w:rPr>
                <w:rStyle w:val="row-content-rich-text"/>
              </w:rPr>
              <w:t xml:space="preserve">Itinerant is used if the client was moving from place to place or had no fixed address.</w:t>
            </w:r>
          </w:p>
          <w:p>
            <w:pPr>
              <w:spacing w:after="160"/>
            </w:pPr>
            <w:r>
              <w:rPr>
                <w:rStyle w:val="row-content-rich-text"/>
              </w:rPr>
              <w:t xml:space="preserve">CODE 20 Gambling</w:t>
            </w:r>
          </w:p>
          <w:p>
            <w:pPr>
              <w:spacing w:after="160"/>
            </w:pPr>
            <w:r>
              <w:rPr>
                <w:rStyle w:val="row-content-rich-text"/>
              </w:rPr>
              <w:t xml:space="preserve">Gambling is selected if the client sought assistance because they had insufficient means to cover the cost of living as a consequence of a one-off instance or an on going gambling problem.</w:t>
            </w:r>
          </w:p>
          <w:p>
            <w:pPr>
              <w:spacing w:after="160"/>
            </w:pPr>
            <w:r>
              <w:rPr>
                <w:rStyle w:val="row-content-rich-text"/>
              </w:rPr>
              <w:t xml:space="preserve">CODE 21 Other financial difficulty</w:t>
            </w:r>
          </w:p>
          <w:p>
            <w:pPr>
              <w:spacing w:after="160"/>
            </w:pPr>
            <w:r>
              <w:rPr>
                <w:rStyle w:val="row-content-rich-text"/>
              </w:rPr>
              <w:t xml:space="preserve">Other financial difficulty is used if the client sought assistance because the client had insufficient money to pay for accommodation, food, bills or other essentials.</w:t>
            </w:r>
          </w:p>
          <w:p>
            <w:pPr>
              <w:spacing w:after="160"/>
            </w:pPr>
            <w:r>
              <w:rPr>
                <w:rStyle w:val="row-content-rich-text"/>
              </w:rPr>
              <w:t xml:space="preserve">CODE 23 Budgeting problems</w:t>
            </w:r>
          </w:p>
          <w:p>
            <w:pPr>
              <w:spacing w:after="160"/>
            </w:pPr>
            <w:r>
              <w:rPr>
                <w:rStyle w:val="row-content-rich-text"/>
              </w:rPr>
              <w:t xml:space="preserve">Budgeting problems is used if the client has adequate financial resources but has difficulties managing these resources.</w:t>
            </w:r>
          </w:p>
          <w:p>
            <w:pPr>
              <w:spacing w:after="160"/>
            </w:pPr>
            <w:r>
              <w:rPr>
                <w:rStyle w:val="row-content-rich-text"/>
              </w:rPr>
              <w:t xml:space="preserve">CODE 24 Rent too high</w:t>
            </w:r>
          </w:p>
          <w:p>
            <w:pPr>
              <w:spacing w:after="160"/>
            </w:pPr>
            <w:r>
              <w:rPr>
                <w:rStyle w:val="row-content-rich-text"/>
              </w:rPr>
              <w:t xml:space="preserve">Rent too high is selected if the client doesn’t have the financial resources to meet rental commitments.</w:t>
            </w:r>
          </w:p>
          <w:p>
            <w:pPr>
              <w:spacing w:after="160"/>
            </w:pPr>
            <w:r>
              <w:rPr>
                <w:rStyle w:val="row-content-rich-text"/>
              </w:rPr>
              <w:t xml:space="preserve">CODE 25 Eviction/asked to leave</w:t>
            </w:r>
          </w:p>
          <w:p>
            <w:pPr>
              <w:spacing w:after="160"/>
            </w:pPr>
            <w:r>
              <w:rPr>
                <w:rStyle w:val="row-content-rich-text"/>
              </w:rPr>
              <w:t xml:space="preserve">Eviction/asked to leave is used if the client was formally evicted from her/his previous accommodation arrangement (for example, by a landlord or public housing official) or if the client was asked to leave their previous accommodation (for example, if the client was asked to leave by flatmates).</w:t>
            </w:r>
          </w:p>
          <w:p>
            <w:pPr>
              <w:spacing w:after="160"/>
            </w:pPr>
            <w:r>
              <w:rPr>
                <w:rStyle w:val="row-content-rich-text"/>
              </w:rPr>
              <w:t xml:space="preserve">CODE 26 Previous accommodation ended</w:t>
            </w:r>
          </w:p>
          <w:p>
            <w:pPr>
              <w:spacing w:after="160"/>
            </w:pPr>
            <w:r>
              <w:rPr>
                <w:rStyle w:val="row-content-rich-text"/>
              </w:rPr>
              <w:t xml:space="preserve">Previous accommodation ended  is used if the client’s previous accommodation was no longer available (for example, the breakup of a group home).</w:t>
            </w:r>
          </w:p>
          <w:p>
            <w:pPr>
              <w:spacing w:after="160"/>
            </w:pPr>
            <w:r>
              <w:rPr>
                <w:rStyle w:val="row-content-rich-text"/>
              </w:rPr>
              <w:t xml:space="preserve">CODE 27 Overcrowding issues</w:t>
            </w:r>
          </w:p>
          <w:p>
            <w:pPr>
              <w:spacing w:after="160"/>
            </w:pPr>
            <w:r>
              <w:rPr>
                <w:rStyle w:val="row-content-rich-text"/>
              </w:rPr>
              <w:t xml:space="preserve">Overcrowding issues is selected if the client sought assistance as a result of household stress from an overcrowded living situation.</w:t>
            </w:r>
          </w:p>
          <w:p>
            <w:pPr>
              <w:spacing w:after="160"/>
            </w:pPr>
            <w:r>
              <w:rPr>
                <w:rStyle w:val="row-content-rich-text"/>
              </w:rPr>
              <w:t xml:space="preserve">CODE 28 Mental health issues</w:t>
            </w:r>
          </w:p>
          <w:p>
            <w:pPr>
              <w:spacing w:after="160"/>
            </w:pPr>
            <w:r>
              <w:rPr>
                <w:rStyle w:val="row-content-rich-text"/>
              </w:rPr>
              <w:t xml:space="preserve">Mental health issues is selected if the client sought assistance because of mental health issues that interfered with their ability to function effectively, impacting on their capacity to maintain their housing situation. This does not include a situation in which the client sought assistance as a result of another person’s mental health issues.</w:t>
            </w:r>
          </w:p>
          <w:p>
            <w:pPr>
              <w:spacing w:after="160"/>
            </w:pPr>
            <w:r>
              <w:rPr>
                <w:rStyle w:val="row-content-rich-text"/>
              </w:rPr>
              <w:t xml:space="preserve">CODE 29 Other health issues</w:t>
            </w:r>
          </w:p>
          <w:p>
            <w:pPr>
              <w:spacing w:after="160"/>
            </w:pPr>
            <w:r>
              <w:rPr>
                <w:rStyle w:val="row-content-rich-text"/>
              </w:rPr>
              <w:t xml:space="preserve">Other health issues is used if the client had health issues, excluding mental health, psychiatric issues or drug dependency issues.</w:t>
            </w:r>
          </w:p>
          <w:p>
            <w:pPr>
              <w:spacing w:after="160"/>
            </w:pPr>
            <w:r>
              <w:rPr>
                <w:rStyle w:val="row-content-rich-text"/>
              </w:rPr>
              <w:t xml:space="preserve">CODE 30 Gay/lesbian/transgender issues</w:t>
            </w:r>
          </w:p>
          <w:p>
            <w:pPr>
              <w:spacing w:after="160"/>
            </w:pPr>
            <w:r>
              <w:rPr>
                <w:rStyle w:val="row-content-rich-text"/>
              </w:rPr>
              <w:t xml:space="preserve">Gay/lesbian/transgender issues is selected if the client sought assistance as a result of his/her sexuality or sexual identification.</w:t>
            </w:r>
          </w:p>
          <w:p>
            <w:pPr>
              <w:spacing w:after="160"/>
            </w:pPr>
            <w:r>
              <w:rPr>
                <w:rStyle w:val="row-content-rich-text"/>
              </w:rPr>
              <w:t xml:space="preserve">CODE 88 Other</w:t>
            </w:r>
          </w:p>
          <w:p>
            <w:pPr>
              <w:spacing w:after="160"/>
            </w:pPr>
            <w:r>
              <w:rPr>
                <w:rStyle w:val="row-content-rich-text"/>
              </w:rPr>
              <w:t xml:space="preserve">Other is used if the client is seeking assistance for a reason not listed above.</w:t>
            </w:r>
          </w:p>
          <w:p>
            <w:pPr>
              <w:spacing w:after="160"/>
            </w:pPr>
            <w:r>
              <w:rPr>
                <w:rStyle w:val="row-content-rich-text"/>
              </w:rPr>
              <w:t xml:space="preserve">CODE 99 Not stated/inadequately described</w:t>
            </w:r>
          </w:p>
          <w:p>
            <w:pPr/>
            <w:r>
              <w:rPr>
                <w:rStyle w:val="row-content-rich-text"/>
              </w:rPr>
              <w:t xml:space="preserve">Not stated/inadequately described is selected if there is insufficient information to determine the client’s presenting reasons for seeking assistance, or if the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more than one reason why a client seeks assistance. This data element is used to collect all of these reasons. While multiple options may be chosen for the presenting reason(s) (including that indicated as being the 'main' one), only one option may be chosen for the main presenting reason. However it is all one concept.</w:t>
            </w:r>
          </w:p>
          <w:p>
            <w:pPr/>
            <w:r>
              <w:rPr>
                <w:rStyle w:val="row-content-rich-text"/>
              </w:rPr>
              <w:t xml:space="preserve">The presenting reason(s) is intended to focus on the reasons the client presented to the agency as opposed to the underlying reasons or causes that may have built up over a lifetime.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663e3d9eaf4530">
              <w:r>
                <w:rPr>
                  <w:rStyle w:val="Hyperlink"/>
                </w:rPr>
                <w:t xml:space="preserve">Person—reason for seeking assistance, homelessness code N[N]</w:t>
              </w:r>
            </w:hyperlink>
          </w:p>
          <w:p>
            <w:pPr>
              <w:pStyle w:val="registration-status"/>
              <w:spacing w:before="0" w:after="0"/>
            </w:pPr>
            <w:hyperlink w:history="true" r:id="Ra708c9d05eb4461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0befad90aba4e81">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7e5cbd8be44e6">
              <w:r>
                <w:rPr>
                  <w:rStyle w:val="Hyperlink"/>
                </w:rPr>
                <w:t xml:space="preserve">SAAP Client Collection National Minimum Data Set</w:t>
              </w:r>
            </w:hyperlink>
          </w:p>
          <w:p>
            <w:pPr>
              <w:pStyle w:val="registration-status"/>
              <w:spacing w:before="0" w:after="0"/>
            </w:pPr>
            <w:hyperlink w:history="true" r:id="R03aceb0cbedf4b9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84e3592f1695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337012</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120d62220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3592f16954be5" /><Relationship Type="http://schemas.openxmlformats.org/officeDocument/2006/relationships/header" Target="/word/header1.xml" Id="R2068991002fd4e77" /><Relationship Type="http://schemas.openxmlformats.org/officeDocument/2006/relationships/settings" Target="/word/settings.xml" Id="R88417aa6fb924189" /><Relationship Type="http://schemas.openxmlformats.org/officeDocument/2006/relationships/styles" Target="/word/styles.xml" Id="Rd0157cbff18f4ea7" /><Relationship Type="http://schemas.openxmlformats.org/officeDocument/2006/relationships/hyperlink" Target="https://meteor.aihw.gov.au/RegistrationAuthority/1" TargetMode="External" Id="R9ee6c03232924fcf" /><Relationship Type="http://schemas.openxmlformats.org/officeDocument/2006/relationships/hyperlink" Target="https://meteor.aihw.gov.au/content/337017" TargetMode="External" Id="R2128f62ef6d84c7c" /><Relationship Type="http://schemas.openxmlformats.org/officeDocument/2006/relationships/hyperlink" Target="https://meteor.aihw.gov.au/content/336844" TargetMode="External" Id="R4aa70001571f4a85" /><Relationship Type="http://schemas.openxmlformats.org/officeDocument/2006/relationships/hyperlink" Target="https://meteor.aihw.gov.au/content/398625" TargetMode="External" Id="Rc1663e3d9eaf4530" /><Relationship Type="http://schemas.openxmlformats.org/officeDocument/2006/relationships/hyperlink" Target="https://meteor.aihw.gov.au/RegistrationAuthority/14" TargetMode="External" Id="Ra708c9d05eb4461e" /><Relationship Type="http://schemas.openxmlformats.org/officeDocument/2006/relationships/hyperlink" Target="https://meteor.aihw.gov.au/RegistrationAuthority/11" TargetMode="External" Id="R20befad90aba4e81" /><Relationship Type="http://schemas.openxmlformats.org/officeDocument/2006/relationships/hyperlink" Target="https://meteor.aihw.gov.au/content/339019" TargetMode="External" Id="R1597e5cbd8be44e6" /><Relationship Type="http://schemas.openxmlformats.org/officeDocument/2006/relationships/hyperlink" Target="https://meteor.aihw.gov.au/RegistrationAuthority/1" TargetMode="External" Id="R03aceb0cbedf4b93" /></Relationships>
</file>

<file path=word/_rels/header1.xml.rels>&#65279;<?xml version="1.0" encoding="utf-8"?><Relationships xmlns="http://schemas.openxmlformats.org/package/2006/relationships"><Relationship Type="http://schemas.openxmlformats.org/officeDocument/2006/relationships/image" Target="/media/image.png" Id="R70c120d622204bea" /></Relationships>
</file>