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8e7311b73e4a1b" /></Relationships>
</file>

<file path=word/document.xml><?xml version="1.0" encoding="utf-8"?>
<w:document xmlns:r="http://schemas.openxmlformats.org/officeDocument/2006/relationships" xmlns:w="http://schemas.openxmlformats.org/wordprocessingml/2006/main">
  <w:body>
    <w:p>
      <w:pPr>
        <w:pStyle w:val="Title"/>
      </w:pPr>
      <w:r>
        <w:t>Activities and participation code (ICF 2001)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code (ICF 2001)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Activities and participation domains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78c57bb824ec5">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292f7b16734ea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Major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Community, social and civic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The</w:t>
            </w:r>
            <w:r>
              <w:br/>
            </w:r>
            <w:r>
              <w:t xml:space="preserve"> </w:t>
            </w:r>
          </w:p>
        </w:tc>
        <w:tc>
          <w:tcPr>
            <w:tcBorders>
              <w:top w:val="none" w:color="000000" w:sz="0"/>
              <w:left w:val="none" w:color="000000" w:sz="0"/>
              <w:bottom w:val="none" w:color="000000" w:sz="0"/>
              <w:right w:val="none" w:color="000000" w:sz="0"/>
            </w:tcBorders>
            <w:vAlign w:val="top"/>
          </w:tcPr>
          <w:p>
            <w:r>
              <w:t xml:space="preserve">above are ICF chapter headings. For the 3 and 4-digit codes under these chapter headings, please refer to the Activities and Participation component of the ICF.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Activities and participation domains are life areas in which individuals may participate or undertake activities.</w:t>
            </w:r>
          </w:p>
          <w:p>
            <w:pPr>
              <w:spacing w:after="160"/>
            </w:pPr>
            <w:r>
              <w:rPr>
                <w:rStyle w:val="row-content-rich-text"/>
              </w:rPr>
              <w:t xml:space="preserve">The domains of </w:t>
            </w:r>
            <w:hyperlink w:tooltip="In the context of health, an activity is the execution of a task or action by an individual. " w:history="true" r:id="R458023facb5049df">
              <w:r>
                <w:rPr>
                  <w:rStyle w:val="Hyperlink"/>
                  <w:b/>
                </w:rPr>
                <w:t xml:space="preserve">activity</w:t>
              </w:r>
            </w:hyperlink>
            <w:r>
              <w:rPr>
                <w:rStyle w:val="row-content-rich-text"/>
              </w:rPr>
              <w:t xml:space="preserve"> and </w:t>
            </w:r>
            <w:hyperlink w:tooltip="In the context of health, participation is involvement in a life situation. " w:history="true" r:id="R658820ded6234674">
              <w:r>
                <w:rPr>
                  <w:rStyle w:val="Hyperlink"/>
                  <w:b/>
                </w:rPr>
                <w:t xml:space="preserve">participation</w:t>
              </w:r>
            </w:hyperlink>
            <w:r>
              <w:rPr>
                <w:rStyle w:val="row-content-rich-text"/>
              </w:rPr>
              <w:t xml:space="preserve"> are a neutral list of tasks, actions and life situations that can be used to record positive or neutral performance as well as activity limitations and participation restrictions.</w:t>
            </w:r>
          </w:p>
          <w:p>
            <w:pPr>
              <w:spacing w:after="160"/>
            </w:pPr>
            <w:r>
              <w:rPr>
                <w:rStyle w:val="row-content-rich-text"/>
              </w:rPr>
              <w:t xml:space="preserve">This metadata item is one of a number of metadata items that provide information about activity limitation and participation restriction experienced by an individual in one or more of these domains.</w:t>
            </w:r>
          </w:p>
          <w:p>
            <w:pPr>
              <w:spacing w:after="160"/>
            </w:pPr>
            <w:r>
              <w:rPr>
                <w:rStyle w:val="row-content-rich-text"/>
              </w:rPr>
              <w:t xml:space="preserve">'Activities and participation' represent one of three components that define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27350b9f5574bff">
              <w:r>
                <w:rPr>
                  <w:rStyle w:val="Hyperlink"/>
                  <w:b/>
                </w:rPr>
                <w:t xml:space="preserve">'Disability'</w:t>
              </w:r>
            </w:hyperlink>
            <w:r>
              <w:rPr>
                <w:rStyle w:val="row-content-rich-text"/>
              </w:rPr>
              <w:t xml:space="preserve">. 'Body functions and structures' and 'Environmental factors' are the other two components.</w:t>
            </w:r>
          </w:p>
          <w:p>
            <w:pPr>
              <w:spacing w:after="160"/>
            </w:pPr>
            <w:r>
              <w:rPr>
                <w:rStyle w:val="row-content-rich-text"/>
              </w:rPr>
              <w:t xml:space="preserve">This metadata item consists of a single, neutral list of activity and participation domains that are grouped together. The list may be used to differentiate some domains as activities and other domains as participation or the user may treat each domain as both activity and participation.</w:t>
            </w:r>
          </w:p>
          <w:p>
            <w:pPr>
              <w:spacing w:after="160"/>
            </w:pPr>
            <w:r>
              <w:rPr>
                <w:rStyle w:val="row-content-rich-text"/>
              </w:rPr>
              <w:t xml:space="preserve">The World Health Organization suggests the list be used in one of four operational ways.</w:t>
            </w:r>
          </w:p>
          <w:p>
            <w:pPr>
              <w:spacing w:after="160"/>
            </w:pPr>
            <w:r>
              <w:rPr>
                <w:rStyle w:val="row-content-rich-text"/>
              </w:rPr>
              <w:t xml:space="preserve">a) To designate some domains as activities and others as participation, not allowing any overlap.</w:t>
            </w:r>
          </w:p>
          <w:p>
            <w:pPr>
              <w:spacing w:after="160"/>
            </w:pPr>
            <w:r>
              <w:rPr>
                <w:rStyle w:val="row-content-rich-text"/>
              </w:rPr>
              <w:t xml:space="preserve">b) Same as (a) above, but allowing partial overlap.</w:t>
            </w:r>
          </w:p>
          <w:p>
            <w:pPr>
              <w:spacing w:after="160"/>
            </w:pPr>
            <w:r>
              <w:rPr>
                <w:rStyle w:val="row-content-rich-text"/>
              </w:rPr>
              <w:t xml:space="preserve">c) To designate all detailed domains as activities and the broad category headings as participation.</w:t>
            </w:r>
          </w:p>
          <w:p>
            <w:pPr>
              <w:spacing w:after="160"/>
            </w:pPr>
            <w:r>
              <w:rPr>
                <w:rStyle w:val="row-content-rich-text"/>
              </w:rPr>
              <w:t xml:space="preserve">d) To use all domains as both activities and participation.</w:t>
            </w:r>
          </w:p>
          <w:p>
            <w:pPr>
              <w:spacing w:after="160"/>
            </w:pPr>
            <w:r>
              <w:rPr>
                <w:rStyle w:val="row-content-rich-text"/>
              </w:rPr>
              <w:t xml:space="preserve">The </w:t>
            </w:r>
            <w:r>
              <w:rPr>
                <w:rStyle w:val="row-content-rich-text"/>
                <w:i/>
              </w:rPr>
              <w:t xml:space="preserve">ICF Australian User Guide</w:t>
            </w:r>
            <w:r>
              <w:rPr>
                <w:rStyle w:val="row-content-rich-text"/>
              </w:rPr>
              <w:t xml:space="preserve"> proposes the use of either option (b) or (d) with the use of additional qualifiers to delineate between activity and participation. The qualifiers in this context correspond to the participation qualifiers </w:t>
            </w:r>
            <w:hyperlink w:history="true" r:id="Ra17bf42d3a134fed">
              <w:r>
                <w:rPr>
                  <w:rStyle w:val="Hyperlink"/>
                  <w:i/>
                </w:rPr>
                <w:t xml:space="preserve">Participation extent code X</w:t>
              </w:r>
            </w:hyperlink>
            <w:r>
              <w:rPr>
                <w:rStyle w:val="row-content-rich-text"/>
              </w:rPr>
              <w:t xml:space="preserve"> and </w:t>
            </w:r>
            <w:hyperlink w:history="true" r:id="R2d3ae270b8e346e9">
              <w:r>
                <w:rPr>
                  <w:rStyle w:val="Hyperlink"/>
                  <w:i/>
                </w:rPr>
                <w:t xml:space="preserve">Participation satisfaction level code X</w:t>
              </w:r>
            </w:hyperlink>
            <w:r>
              <w:rPr>
                <w:rStyle w:val="row-content-rich-text"/>
              </w:rPr>
              <w:t xml:space="preserve"> and the activity qualifier </w:t>
            </w:r>
            <w:hyperlink w:history="true" r:id="Rfd7130cd88c54702">
              <w:r>
                <w:rPr>
                  <w:rStyle w:val="Hyperlink"/>
                  <w:i/>
                </w:rPr>
                <w:t xml:space="preserve">Activity difficulty level code X</w:t>
              </w:r>
            </w:hyperlink>
            <w:r>
              <w:rPr>
                <w:rStyle w:val="row-content-rich-text"/>
              </w:rPr>
              <w:t xml:space="preserve">.</w:t>
            </w:r>
          </w:p>
          <w:p>
            <w:pPr>
              <w:spacing w:after="160"/>
            </w:pPr>
            <w:r>
              <w:rPr>
                <w:rStyle w:val="row-content-rich-text"/>
              </w:rPr>
              <w:t xml:space="preserve">Examples of the types of permissible values listed in the </w:t>
            </w:r>
            <w:r>
              <w:rPr>
                <w:rStyle w:val="row-content-rich-text"/>
                <w:i/>
              </w:rPr>
              <w:t xml:space="preserve">Activities and Participation</w:t>
            </w:r>
            <w:r>
              <w:rPr>
                <w:rStyle w:val="row-content-rich-text"/>
              </w:rPr>
              <w:t xml:space="preserve"> domain of the ICF:</w:t>
            </w:r>
          </w:p>
          <w:p>
            <w:pPr>
              <w:spacing w:after="160"/>
            </w:pPr>
            <w:r>
              <w:rPr>
                <w:rStyle w:val="row-content-rich-text"/>
              </w:rPr>
              <w:t xml:space="preserve">CODE 1     Learning and applying knowledge</w:t>
            </w:r>
          </w:p>
          <w:p>
            <w:pPr>
              <w:spacing w:after="160"/>
            </w:pPr>
            <w:r>
              <w:rPr>
                <w:rStyle w:val="row-content-rich-text"/>
              </w:rPr>
              <w:t xml:space="preserve">Examples include: purpose sensory experiences, basic learning, applying knowlegde.</w:t>
            </w:r>
          </w:p>
          <w:p>
            <w:pPr>
              <w:spacing w:after="160"/>
            </w:pPr>
            <w:r>
              <w:rPr>
                <w:rStyle w:val="row-content-rich-text"/>
              </w:rPr>
              <w:t xml:space="preserve">CODE 2     General tasks and demands</w:t>
            </w:r>
          </w:p>
          <w:p>
            <w:pPr>
              <w:spacing w:after="160"/>
            </w:pPr>
            <w:r>
              <w:rPr>
                <w:rStyle w:val="row-content-rich-text"/>
              </w:rPr>
              <w:t xml:space="preserve">Examples include: undertaking a single task, undertaking multiple tasks, carrying out daily routine, handling stress and other psychological demands.</w:t>
            </w:r>
          </w:p>
          <w:p>
            <w:pPr>
              <w:spacing w:after="160"/>
            </w:pPr>
            <w:r>
              <w:rPr>
                <w:rStyle w:val="row-content-rich-text"/>
              </w:rPr>
              <w:t xml:space="preserve">CODE 3     Communication</w:t>
            </w:r>
          </w:p>
          <w:p>
            <w:pPr>
              <w:spacing w:after="160"/>
            </w:pPr>
            <w:r>
              <w:rPr>
                <w:rStyle w:val="row-content-rich-text"/>
              </w:rPr>
              <w:t xml:space="preserve">Examples include: communication-receiving, communication-producing, conversation and use of communication devices, and techniques.</w:t>
            </w:r>
          </w:p>
          <w:p>
            <w:pPr>
              <w:spacing w:after="160"/>
            </w:pPr>
            <w:r>
              <w:rPr>
                <w:rStyle w:val="row-content-rich-text"/>
              </w:rPr>
              <w:t xml:space="preserve">CODE 4     Mobility</w:t>
            </w:r>
          </w:p>
          <w:p>
            <w:pPr>
              <w:spacing w:after="160"/>
            </w:pPr>
            <w:r>
              <w:rPr>
                <w:rStyle w:val="row-content-rich-text"/>
              </w:rPr>
              <w:t xml:space="preserve">Examples include: changing and maintaining body position, carrying, moving and handling objects, walking and moving, moving around using transportation.</w:t>
            </w:r>
          </w:p>
          <w:p>
            <w:pPr>
              <w:spacing w:after="160"/>
            </w:pPr>
            <w:r>
              <w:rPr>
                <w:rStyle w:val="row-content-rich-text"/>
              </w:rPr>
              <w:t xml:space="preserve">CODE 5     Self-care</w:t>
            </w:r>
          </w:p>
          <w:p>
            <w:pPr>
              <w:spacing w:after="160"/>
            </w:pPr>
            <w:r>
              <w:rPr>
                <w:rStyle w:val="row-content-rich-text"/>
              </w:rPr>
              <w:t xml:space="preserve">Examples include: washing oneself, caring for body parts, toileting, dressing, eating and drinking, looking after one's health.</w:t>
            </w:r>
          </w:p>
          <w:p>
            <w:pPr>
              <w:spacing w:after="160"/>
            </w:pPr>
            <w:r>
              <w:rPr>
                <w:rStyle w:val="row-content-rich-text"/>
              </w:rPr>
              <w:t xml:space="preserve">CODE 6     Domestic life</w:t>
            </w:r>
          </w:p>
          <w:p>
            <w:pPr>
              <w:spacing w:after="160"/>
            </w:pPr>
            <w:r>
              <w:rPr>
                <w:rStyle w:val="row-content-rich-text"/>
              </w:rPr>
              <w:t xml:space="preserve">Examples include: acquisition of necessities, household tasks, caring for household objects and assisting others.</w:t>
            </w:r>
          </w:p>
          <w:p>
            <w:pPr>
              <w:spacing w:after="160"/>
            </w:pPr>
            <w:r>
              <w:rPr>
                <w:rStyle w:val="row-content-rich-text"/>
              </w:rPr>
              <w:t xml:space="preserve">CODE 7     Interpersonal interactions and relationships</w:t>
            </w:r>
          </w:p>
          <w:p>
            <w:pPr>
              <w:spacing w:after="160"/>
            </w:pPr>
            <w:r>
              <w:rPr>
                <w:rStyle w:val="row-content-rich-text"/>
              </w:rPr>
              <w:t xml:space="preserve">Examples include: general interpersonal interactions, particular interpersonal interactions.</w:t>
            </w:r>
          </w:p>
          <w:p>
            <w:pPr>
              <w:spacing w:after="160"/>
            </w:pPr>
            <w:r>
              <w:rPr>
                <w:rStyle w:val="row-content-rich-text"/>
              </w:rPr>
              <w:t xml:space="preserve">CODE 8     Major life areas</w:t>
            </w:r>
          </w:p>
          <w:p>
            <w:pPr>
              <w:spacing w:after="160"/>
            </w:pPr>
            <w:r>
              <w:rPr>
                <w:rStyle w:val="row-content-rich-text"/>
              </w:rPr>
              <w:t xml:space="preserve">Examples include: education, work and employment, economic life.</w:t>
            </w:r>
          </w:p>
          <w:p>
            <w:pPr>
              <w:spacing w:after="160"/>
            </w:pPr>
            <w:r>
              <w:rPr>
                <w:rStyle w:val="row-content-rich-text"/>
              </w:rPr>
              <w:t xml:space="preserve">CODE 9     Community, social and civic life</w:t>
            </w:r>
          </w:p>
          <w:p>
            <w:pPr/>
            <w:r>
              <w:rPr>
                <w:rStyle w:val="row-content-rich-text"/>
              </w:rPr>
              <w:t xml:space="preserve">Examples include: community life, recreational and leisure, religion and spirituality, human rights, political life and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at the ICF chapter level (i.e. the single digit headings such as '3' for the Communication chapter) may be recorded. If further detail is required, the </w:t>
            </w:r>
            <w:r>
              <w:rPr>
                <w:rStyle w:val="row-content-rich-text"/>
                <w:i/>
              </w:rPr>
              <w:t xml:space="preserve">Activities and Participation</w:t>
            </w:r>
            <w:r>
              <w:rPr>
                <w:rStyle w:val="row-content-rich-text"/>
              </w:rPr>
              <w:t xml:space="preserve"> component of the ICF provides 3 and 4-digit codes.</w:t>
            </w:r>
          </w:p>
          <w:p>
            <w:pPr>
              <w:spacing w:after="160"/>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w:t>
            </w:r>
            <w:r>
              <w:rPr>
                <w:rStyle w:val="row-content-rich-text"/>
                <w:i/>
              </w:rPr>
              <w:t xml:space="preserve">and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p>
            <w:pPr>
              <w:spacing w:after="160"/>
            </w:pPr>
            <w:r>
              <w:rPr>
                <w:rStyle w:val="row-content-rich-text"/>
              </w:rPr>
              <w:t xml:space="preserve">In order to indicate that an activity limitation exists in relation to a given area of activity, </w:t>
            </w:r>
            <w:hyperlink w:history="true" r:id="Rfc2c9be4208e4a26">
              <w:r>
                <w:rPr>
                  <w:rStyle w:val="Hyperlink"/>
                  <w:i/>
                </w:rPr>
                <w:t xml:space="preserve">Activity difficulty level code X</w:t>
              </w:r>
            </w:hyperlink>
            <w:r>
              <w:rPr>
                <w:rStyle w:val="row-content-rich-text"/>
              </w:rPr>
              <w:t xml:space="preserve"> should also be recorded.</w:t>
            </w:r>
          </w:p>
          <w:p>
            <w:pPr>
              <w:spacing w:after="160"/>
            </w:pPr>
            <w:r>
              <w:rPr>
                <w:rStyle w:val="row-content-rich-text"/>
              </w:rPr>
              <w:t xml:space="preserve">The extent of, and level of satisfaction with, participation in a given area are indicated by the use of the qualifiers </w:t>
            </w:r>
            <w:hyperlink w:history="true" r:id="R96240f8cd60c4c02">
              <w:r>
                <w:rPr>
                  <w:rStyle w:val="Hyperlink"/>
                  <w:i/>
                </w:rPr>
                <w:t xml:space="preserve">Participation extent code X</w:t>
              </w:r>
            </w:hyperlink>
            <w:r>
              <w:rPr>
                <w:rStyle w:val="row-content-rich-text"/>
              </w:rPr>
              <w:t xml:space="preserve"> and </w:t>
            </w:r>
            <w:hyperlink w:history="true" r:id="R8b95f2a59c4144bb">
              <w:r>
                <w:rPr>
                  <w:rStyle w:val="Hyperlink"/>
                  <w:i/>
                </w:rPr>
                <w:t xml:space="preserve">Participation satisfaction level code X</w:t>
              </w:r>
            </w:hyperlink>
            <w:r>
              <w:rPr>
                <w:rStyle w:val="row-content-rich-text"/>
              </w:rPr>
              <w:t xml:space="preserve">.</w:t>
            </w:r>
          </w:p>
          <w:p>
            <w:pPr>
              <w:spacing w:after="160"/>
            </w:pPr>
            <w:r>
              <w:rPr>
                <w:rStyle w:val="row-content-rich-text"/>
              </w:rPr>
              <w:t xml:space="preserve">There are numerous possible methods for collecting activity, activity limitation, participation and participation restriction. A decision could be made to collect information:</w:t>
            </w:r>
          </w:p>
          <w:p>
            <w:pPr>
              <w:pStyle w:val="ListParagraph"/>
              <w:numPr>
                <w:ilvl w:val="0"/>
                <w:numId w:val="2"/>
              </w:numPr>
            </w:pPr>
            <w:r>
              <w:rPr>
                <w:rStyle w:val="row-content-rich-text"/>
              </w:rPr>
              <w:t xml:space="preserve">about every domain;</w:t>
            </w:r>
          </w:p>
          <w:p>
            <w:pPr>
              <w:pStyle w:val="ListParagraph"/>
              <w:numPr>
                <w:ilvl w:val="0"/>
                <w:numId w:val="2"/>
              </w:numPr>
            </w:pPr>
            <w:r>
              <w:rPr>
                <w:rStyle w:val="row-content-rich-text"/>
              </w:rPr>
              <w:t xml:space="preserve">on domains of particular relevance; or</w:t>
            </w:r>
          </w:p>
          <w:p>
            <w:pPr>
              <w:pStyle w:val="ListParagraph"/>
              <w:numPr>
                <w:ilvl w:val="0"/>
                <w:numId w:val="2"/>
              </w:numPr>
            </w:pPr>
            <w:r>
              <w:rPr>
                <w:rStyle w:val="row-content-rich-text"/>
              </w:rPr>
              <w:t xml:space="preserve">on a number of domains which are prioritised according to specified criteria.</w:t>
            </w:r>
          </w:p>
          <w:p>
            <w:pPr>
              <w:spacing w:after="160"/>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p>
            <w:pPr/>
            <w:r>
              <w:rPr>
                <w:rStyle w:val="row-content-rich-text"/>
              </w:rPr>
              <w:t xml:space="preserve">Multiple codes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7c1e3039ec4f41aa">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a3898bbc2ff34413">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ae192c142d4da2">
              <w:r>
                <w:rPr>
                  <w:rStyle w:val="Hyperlink"/>
                </w:rPr>
                <w:t xml:space="preserve">Activities and participation code (ICF 2001) AN[NNN] </w:t>
              </w:r>
            </w:hyperlink>
          </w:p>
          <w:p>
            <w:pPr>
              <w:pStyle w:val="registration-status"/>
              <w:spacing w:before="0" w:after="0"/>
            </w:pPr>
            <w:hyperlink w:history="true" r:id="R55b7bc61f2cb497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c97a1ab994f4ea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008d4bc4ecb4af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f9e077922fa6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288273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c065a4a05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077922fa641a4" /><Relationship Type="http://schemas.openxmlformats.org/officeDocument/2006/relationships/header" Target="/word/header1.xml" Id="R1abcd9bcf0094278" /><Relationship Type="http://schemas.openxmlformats.org/officeDocument/2006/relationships/settings" Target="/word/settings.xml" Id="R8d45bd4ffe984af8" /><Relationship Type="http://schemas.openxmlformats.org/officeDocument/2006/relationships/styles" Target="/word/styles.xml" Id="R706eccfaf37a43c4" /><Relationship Type="http://schemas.openxmlformats.org/officeDocument/2006/relationships/numbering" Target="/word/numbering.xml" Id="R59476f83d02140e4" /><Relationship Type="http://schemas.openxmlformats.org/officeDocument/2006/relationships/hyperlink" Target="https://meteor.aihw.gov.au/RegistrationAuthority/1" TargetMode="External" Id="R63978c57bb824ec5" /><Relationship Type="http://schemas.openxmlformats.org/officeDocument/2006/relationships/hyperlink" Target="https://meteor.aihw.gov.au/content/270548" TargetMode="External" Id="R15292f7b16734eab" /><Relationship Type="http://schemas.openxmlformats.org/officeDocument/2006/relationships/hyperlink" Target="https://meteor.aihw.gov.au/content/327296" TargetMode="External" Id="R458023facb5049df" /><Relationship Type="http://schemas.openxmlformats.org/officeDocument/2006/relationships/hyperlink" Target="https://meteor.aihw.gov.au/content/327312" TargetMode="External" Id="R658820ded6234674" /><Relationship Type="http://schemas.openxmlformats.org/officeDocument/2006/relationships/hyperlink" Target="https://meteor.aihw.gov.au/content/327304" TargetMode="External" Id="R027350b9f5574bff" /><Relationship Type="http://schemas.openxmlformats.org/officeDocument/2006/relationships/hyperlink" Target="https://meteor.aihw.gov.au/content/288534" TargetMode="External" Id="Ra17bf42d3a134fed" /><Relationship Type="http://schemas.openxmlformats.org/officeDocument/2006/relationships/hyperlink" Target="https://meteor.aihw.gov.au/content/288509" TargetMode="External" Id="R2d3ae270b8e346e9" /><Relationship Type="http://schemas.openxmlformats.org/officeDocument/2006/relationships/hyperlink" Target="https://meteor.aihw.gov.au/content/288309" TargetMode="External" Id="Rfd7130cd88c54702" /><Relationship Type="http://schemas.openxmlformats.org/officeDocument/2006/relationships/hyperlink" Target="https://meteor.aihw.gov.au/content/288309" TargetMode="External" Id="Rfc2c9be4208e4a26" /><Relationship Type="http://schemas.openxmlformats.org/officeDocument/2006/relationships/hyperlink" Target="https://meteor.aihw.gov.au/content/288534" TargetMode="External" Id="R96240f8cd60c4c02" /><Relationship Type="http://schemas.openxmlformats.org/officeDocument/2006/relationships/hyperlink" Target="https://meteor.aihw.gov.au/content/288509" TargetMode="External" Id="R8b95f2a59c4144bb" /><Relationship Type="http://schemas.openxmlformats.org/officeDocument/2006/relationships/hyperlink" Target="http://www.who.int/classifications/icf/en/" TargetMode="External" Id="R7c1e3039ec4f41aa" /><Relationship Type="http://schemas.openxmlformats.org/officeDocument/2006/relationships/hyperlink" Target="http://www.aihw.gov.au/disability/icf/index.html" TargetMode="External" Id="Ra3898bbc2ff34413" /><Relationship Type="http://schemas.openxmlformats.org/officeDocument/2006/relationships/hyperlink" Target="https://meteor.aihw.gov.au/content/320669" TargetMode="External" Id="R5fae192c142d4da2" /><Relationship Type="http://schemas.openxmlformats.org/officeDocument/2006/relationships/hyperlink" Target="https://meteor.aihw.gov.au/RegistrationAuthority/1" TargetMode="External" Id="R55b7bc61f2cb4970" /><Relationship Type="http://schemas.openxmlformats.org/officeDocument/2006/relationships/hyperlink" Target="https://meteor.aihw.gov.au/RegistrationAuthority/16" TargetMode="External" Id="R9c97a1ab994f4ea6" /><Relationship Type="http://schemas.openxmlformats.org/officeDocument/2006/relationships/hyperlink" Target="https://meteor.aihw.gov.au/RegistrationAuthority/12" TargetMode="External" Id="Rf008d4bc4ecb4afa" /></Relationships>
</file>

<file path=word/_rels/header1.xml.rels>&#65279;<?xml version="1.0" encoding="utf-8"?><Relationships xmlns="http://schemas.openxmlformats.org/package/2006/relationships"><Relationship Type="http://schemas.openxmlformats.org/officeDocument/2006/relationships/image" Target="/media/image.png" Id="R5b9c065a4a0546c7" /></Relationships>
</file>