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9af94c576342ae" /></Relationships>
</file>

<file path=word/document.xml><?xml version="1.0" encoding="utf-8"?>
<w:document xmlns:r="http://schemas.openxmlformats.org/officeDocument/2006/relationships" xmlns:w="http://schemas.openxmlformats.org/wordprocessingml/2006/main">
  <w:body>
    <w:p>
      <w:pPr>
        <w:pStyle w:val="Title"/>
      </w:pPr>
      <w:r>
        <w:t>Person—microalbumin level (measured), albumin/creatinine ratio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Person—microalbumin level (measured), albumin/creatinine ratio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Microalbumin level—albumin/creatinine ratio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e8c95a4ef64ac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microalbumin level, measured as an albumin/creatinine ratio.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5f1f5a44264378">
              <w:r>
                <w:rPr>
                  <w:rStyle w:val="Hyperlink"/>
                </w:rPr>
                <w:t xml:space="preserve">Person—microalbumin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3adaf887f5441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microalbumin level in a spot test, 24 hour or timed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3ad82f39fb4b9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cf50a2abd64c3a">
              <w:r>
                <w:rPr>
                  <w:rStyle w:val="Hyperlink"/>
                </w:rPr>
                <w:t xml:space="preserve">Microalbumin level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15295c9ba4433b">
              <w:r>
                <w:rPr>
                  <w:rStyle w:val="Hyperlink"/>
                </w:rPr>
                <w:t xml:space="preserve">Albumin/creatinine ratio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310475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eca38d632d4fb6">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ratio of the amount of albumin to the amount of creatinine in milligrams per millimole (mg/mmol).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millimole (mg/mmol)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of microalbumin levels should be carried out by laboratories, or practices, which have been accredited to perform these tests by the National Association of Testing Authority.</w:t>
            </w:r>
          </w:p>
          <w:p>
            <w:pPr>
              <w:spacing w:after="160"/>
            </w:pPr>
            <w:r>
              <w:rPr>
                <w:rStyle w:val="row-content-rich-text"/>
              </w:rPr>
              <w:t xml:space="preserve">Microalbumin is not detected by reagent strips for urinary proteins, and requires immunoassay.</w:t>
            </w:r>
          </w:p>
          <w:p>
            <w:pPr>
              <w:spacing w:after="160"/>
            </w:pPr>
            <w:r>
              <w:rPr>
                <w:rStyle w:val="row-content-rich-text"/>
              </w:rPr>
              <w:t xml:space="preserve">As urinary albumin varies with posture and exercise it is important to collect the urine under very standard conditions; short-term (2 hours) during rest, overnight (approximately 8 hours) or an early morning sample. For screening purposes an early morning urine specimen is adequate, and if the albumin/creatinine ratio is found to be greater than 3.5 mg/mmol then a timed overnight sample should be obtained for estimation of the albumin excretion rate.</w:t>
            </w:r>
          </w:p>
          <w:p>
            <w:pPr>
              <w:spacing w:after="160"/>
            </w:pPr>
            <w:r>
              <w:rPr>
                <w:rStyle w:val="row-content-rich-text"/>
              </w:rPr>
              <w:t xml:space="preserve">Test for albuminuria by measuring microalbumin in timed or first morning urine sample.</w:t>
            </w:r>
          </w:p>
          <w:p>
            <w:pPr>
              <w:spacing w:after="160"/>
            </w:pPr>
            <w:r>
              <w:rPr>
                <w:rStyle w:val="row-content-rich-text"/>
              </w:rPr>
              <w:t xml:space="preserve">The results considered elevated are</w:t>
            </w:r>
          </w:p>
          <w:p>
            <w:pPr>
              <w:pStyle w:val="ListParagraph"/>
              <w:numPr>
                <w:ilvl w:val="0"/>
                <w:numId w:val="2"/>
              </w:numPr>
            </w:pPr>
            <w:r>
              <w:rPr>
                <w:rStyle w:val="row-content-rich-text"/>
              </w:rPr>
              <w:t xml:space="preserve">spot urine 30 to 300 mg/L; or</w:t>
            </w:r>
          </w:p>
          <w:p>
            <w:pPr>
              <w:pStyle w:val="ListParagraph"/>
              <w:numPr>
                <w:ilvl w:val="0"/>
                <w:numId w:val="2"/>
              </w:numPr>
            </w:pPr>
            <w:r>
              <w:rPr>
                <w:rStyle w:val="row-content-rich-text"/>
              </w:rPr>
              <w:t xml:space="preserve">timed urine (24 hour collection) 20 to 200 µg/min.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b78683fba134c77">
              <w:r>
                <w:drawing>
                  <wp:inline xmlns:wp="http://schemas.openxmlformats.org/drawingml/2006/wordprocessingDrawing" distT="0" distB="0" distL="0" distR="0">
                    <wp:extent cx="152400" cy="152400"/>
                    <wp:effectExtent l="19050" t="0" r="0" b="0"/>
                    <wp:docPr id="2" name="Picture 2" descr="">
                      <a:hlinkClick xmlns:a="http://schemas.openxmlformats.org/drawingml/2006/main" r:id="Rbb78683fba134c7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24bcd73aa814156"/>
                            <a:srcRect/>
                            <a:stretch>
                              <a:fillRect/>
                            </a:stretch>
                          </pic:blipFill>
                          <pic:spPr bwMode="auto">
                            <a:xfrm>
                              <a:off x="0" y="0"/>
                              <a:ext cx="152400" cy="152400"/>
                            </a:xfrm>
                            <a:prstGeom prst="rect">
                              <a:avLst/>
                            </a:prstGeom>
                          </pic:spPr>
                        </pic:pic>
                      </a:graphicData>
                    </a:graphic>
                  </wp:inline>
                </w:drawing>
              </w:r>
              <w:r>
                <w:rPr>
                  <w:rStyle w:val="Hyperlink"/>
                </w:rPr>
                <w:t xml:space="preserve"> Microalbumin - units, version 1, DE, NHDD, NHIMG,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b58c8a29343b4d79">
              <w:r>
                <w:drawing>
                  <wp:inline xmlns:wp="http://schemas.openxmlformats.org/drawingml/2006/wordprocessingDrawing" distT="0" distB="0" distL="0" distR="0">
                    <wp:extent cx="152400" cy="152400"/>
                    <wp:effectExtent l="19050" t="0" r="0" b="0"/>
                    <wp:docPr id="3" name="Picture 3" descr="">
                      <a:hlinkClick xmlns:a="http://schemas.openxmlformats.org/drawingml/2006/main" r:id="Rb58c8a29343b4d7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373c006eb0ba4afa"/>
                            <a:srcRect/>
                            <a:stretch>
                              <a:fillRect/>
                            </a:stretch>
                          </pic:blipFill>
                          <pic:spPr bwMode="auto">
                            <a:xfrm>
                              <a:off x="0" y="0"/>
                              <a:ext cx="152400" cy="152400"/>
                            </a:xfrm>
                            <a:prstGeom prst="rect">
                              <a:avLst/>
                            </a:prstGeom>
                          </pic:spPr>
                        </pic:pic>
                      </a:graphicData>
                    </a:graphic>
                  </wp:inline>
                </w:drawing>
              </w:r>
              <w:r>
                <w:rPr>
                  <w:rStyle w:val="Hyperlink"/>
                </w:rPr>
                <w:t xml:space="preserve"> Microalbumin/protein - measured, version 1, DE, NHDD, NHIMG,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9986afc09bc64c8d">
              <w:r>
                <w:rPr>
                  <w:rStyle w:val="Hyperlink"/>
                </w:rPr>
                <w:t xml:space="preserve">Laboratory standard—upper limit of normal range for microalbumin, albumin/creatinine ratio N[NN].N</w:t>
              </w:r>
            </w:hyperlink>
          </w:p>
          <w:p>
            <w:pPr>
              <w:spacing w:before="0" w:after="0"/>
            </w:pPr>
            <w:r>
              <w:rPr>
                <w:rStyle w:val="row-content"/>
                <w:color w:val="244061"/>
              </w:rPr>
              <w:t xml:space="preserve">       </w:t>
            </w:r>
            <w:hyperlink w:history="true" r:id="Rbdbf3cb674474a40">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a6365563da4abb">
              <w:r>
                <w:rPr>
                  <w:rStyle w:val="Hyperlink"/>
                </w:rPr>
                <w:t xml:space="preserve">Diabetes (clinical) DSS</w:t>
              </w:r>
            </w:hyperlink>
          </w:p>
          <w:p>
            <w:pPr>
              <w:spacing w:before="0" w:after="0"/>
            </w:pPr>
            <w:r>
              <w:rPr>
                <w:rStyle w:val="row-content"/>
                <w:color w:val="244061"/>
              </w:rPr>
              <w:t xml:space="preserve">       </w:t>
            </w:r>
            <w:hyperlink w:history="true" r:id="Rc3555a330f994048">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rPr>
                <w:rStyle w:val="row-content"/>
              </w:rPr>
              <w:t xml:space="preserve">Diagnosis of microalbuminuria is established if 2 of the 3 measurements are abnormal.</w:t>
            </w:r>
          </w:p>
          <w:p>
            <w:r>
              <w:rPr>
                <w:rStyle w:val="row-content"/>
              </w:rPr>
              <w:t xml:space="preserve">According to the Principles of Care and Guidelines for the Clinical Management of Diabetes Mellitus a test for microalbuminuria is to be performed:</w:t>
            </w:r>
          </w:p>
          <w:p>
            <w:pPr>
              <w:pStyle w:val="ListParagraph"/>
              <w:numPr>
                <w:ilvl w:val="0"/>
                <w:numId w:val="3"/>
              </w:numPr>
            </w:pPr>
            <w:r>
              <w:rPr>
                <w:rStyle w:val="row-content"/>
              </w:rPr>
              <w:t xml:space="preserve">at diagnosis and then every 12 months for patients with Type 2 diabetes, </w:t>
            </w:r>
          </w:p>
          <w:p>
            <w:pPr>
              <w:pStyle w:val="ListParagraph"/>
              <w:numPr>
                <w:ilvl w:val="0"/>
                <w:numId w:val="3"/>
              </w:numPr>
            </w:pPr>
            <w:r>
              <w:rPr>
                <w:rStyle w:val="row-content"/>
              </w:rPr>
              <w:t xml:space="preserve">5 years post diagnosis and then every 12 months for patients with Type 1 diabetes, </w:t>
            </w:r>
          </w:p>
          <w:p>
            <w:pPr>
              <w:pStyle w:val="ListParagraph"/>
              <w:numPr>
                <w:ilvl w:val="0"/>
                <w:numId w:val="3"/>
              </w:numPr>
            </w:pPr>
            <w:r>
              <w:rPr>
                <w:rStyle w:val="row-content"/>
              </w:rPr>
              <w:t xml:space="preserve">if microalbuminuria is present, perform up to two additional measurements in the next 6 weeks.</w:t>
            </w:r>
          </w:p>
          <w:p>
            <w:r>
              <w:br/>
            </w:r>
            <w:r>
              <w:br/>
            </w:r>
            <w:hyperlink w:history="true" r:id="R5b85f062753d4e02">
              <w:r>
                <w:rPr>
                  <w:rStyle w:val="Hyperlink"/>
                </w:rPr>
                <w:t xml:space="preserve">Diabetes (clinical) NBPDS</w:t>
              </w:r>
            </w:hyperlink>
          </w:p>
          <w:p>
            <w:pPr>
              <w:spacing w:before="0" w:after="0"/>
            </w:pPr>
            <w:r>
              <w:rPr>
                <w:rStyle w:val="row-content"/>
                <w:color w:val="244061"/>
              </w:rPr>
              <w:t xml:space="preserve">       </w:t>
            </w:r>
            <w:hyperlink w:history="true" r:id="Rbc4c59dc79a0437a">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rPr>
                <w:rStyle w:val="row-content"/>
              </w:rPr>
              <w:t xml:space="preserve">Diagnosis of microalbuminuria is established if 2 of the 3 measurements are abnormal.</w:t>
            </w:r>
          </w:p>
          <w:p>
            <w:r>
              <w:rPr>
                <w:rStyle w:val="row-content"/>
              </w:rPr>
              <w:t xml:space="preserve">According to the Principles of Care and Guidelines for the Clinical Management of Diabetes Mellitus a test for microalbuminuria is to be performed:</w:t>
            </w:r>
          </w:p>
          <w:p>
            <w:pPr>
              <w:pStyle w:val="ListParagraph"/>
              <w:numPr>
                <w:ilvl w:val="0"/>
                <w:numId w:val="4"/>
              </w:numPr>
            </w:pPr>
            <w:r>
              <w:rPr>
                <w:rStyle w:val="row-content"/>
              </w:rPr>
              <w:t xml:space="preserve">at diagnosis and then every 12 months for patients with Type 2 diabetes,</w:t>
            </w:r>
          </w:p>
          <w:p>
            <w:pPr>
              <w:pStyle w:val="ListParagraph"/>
              <w:numPr>
                <w:ilvl w:val="0"/>
                <w:numId w:val="4"/>
              </w:numPr>
            </w:pPr>
            <w:r>
              <w:rPr>
                <w:rStyle w:val="row-content"/>
              </w:rPr>
              <w:t xml:space="preserve">5 years post diagnosis and then every 12 months for patients with Type 1 diabetes,</w:t>
            </w:r>
          </w:p>
          <w:p>
            <w:pPr>
              <w:pStyle w:val="ListParagraph"/>
              <w:numPr>
                <w:ilvl w:val="0"/>
                <w:numId w:val="4"/>
              </w:numPr>
            </w:pPr>
            <w:r>
              <w:rPr>
                <w:rStyle w:val="row-content"/>
              </w:rPr>
              <w:t xml:space="preserve">if microalbuminuria is present, perform up to two additional measurements in the next 6 weeks.</w:t>
            </w:r>
          </w:p>
          <w:p>
            <w:r>
              <w:br/>
            </w:r>
            <w:r>
              <w:br/>
            </w:r>
          </w:p>
        </w:tc>
      </w:tr>
    </w:tbl>
    <w:p/>
    <w:tbl>
      <w:tblPr>
        <w:tblStyle w:val="TableGrid"/>
        <w:tblW w:w="0" w:type="auto"/>
      </w:tblPr>
    </w:tbl>
    <w:p>
      <w:r>
        <w:br/>
      </w:r>
    </w:p>
    <w:sectPr>
      <w:footerReference xmlns:r="http://schemas.openxmlformats.org/officeDocument/2006/relationships" w:type="default" r:id="Re5bb22e71fb74c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270339</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4d361098574c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bb22e71fb74c01" /><Relationship Type="http://schemas.openxmlformats.org/officeDocument/2006/relationships/header" Target="/word/header1.xml" Id="R0cbce3e7c26d49b3" /><Relationship Type="http://schemas.openxmlformats.org/officeDocument/2006/relationships/settings" Target="/word/settings.xml" Id="R156d921d71f0439b" /><Relationship Type="http://schemas.openxmlformats.org/officeDocument/2006/relationships/styles" Target="/word/styles.xml" Id="R9850798fc6e34b1e" /><Relationship Type="http://schemas.openxmlformats.org/officeDocument/2006/relationships/hyperlink" Target="https://meteor.aihw.gov.au/RegistrationAuthority/12" TargetMode="External" Id="Rf6e8c95a4ef64ace" /><Relationship Type="http://schemas.openxmlformats.org/officeDocument/2006/relationships/hyperlink" Target="https://meteor.aihw.gov.au/content/269773" TargetMode="External" Id="Rc95f1f5a44264378" /><Relationship Type="http://schemas.openxmlformats.org/officeDocument/2006/relationships/hyperlink" Target="https://meteor.aihw.gov.au/RegistrationAuthority/12" TargetMode="External" Id="Rbb3adaf887f5441f" /><Relationship Type="http://schemas.openxmlformats.org/officeDocument/2006/relationships/hyperlink" Target="https://meteor.aihw.gov.au/content/268955" TargetMode="External" Id="Ra43ad82f39fb4b94" /><Relationship Type="http://schemas.openxmlformats.org/officeDocument/2006/relationships/hyperlink" Target="https://meteor.aihw.gov.au/content/269284" TargetMode="External" Id="Ra8cf50a2abd64c3a" /><Relationship Type="http://schemas.openxmlformats.org/officeDocument/2006/relationships/hyperlink" Target="https://meteor.aihw.gov.au/content/310475" TargetMode="External" Id="R0b15295c9ba4433b" /><Relationship Type="http://schemas.openxmlformats.org/officeDocument/2006/relationships/hyperlink" Target="https://meteor.aihw.gov.au/RegistrationAuthority/12" TargetMode="External" Id="Rfeeca38d632d4fb6" /><Relationship Type="http://schemas.openxmlformats.org/officeDocument/2006/relationships/numbering" Target="/word/numbering.xml" Id="Rbdefa8dce5dc4105" /><Relationship Type="http://schemas.openxmlformats.org/officeDocument/2006/relationships/hyperlink" Target="https://meteor.aihw.gov.au/content/273876" TargetMode="External" Id="Rbb78683fba134c77" /><Relationship Type="http://schemas.openxmlformats.org/officeDocument/2006/relationships/image" Target="/media/image.gif" Id="R324bcd73aa814156" /><Relationship Type="http://schemas.openxmlformats.org/officeDocument/2006/relationships/hyperlink" Target="https://meteor.aihw.gov.au/content/273875" TargetMode="External" Id="Rb58c8a29343b4d79" /><Relationship Type="http://schemas.openxmlformats.org/officeDocument/2006/relationships/image" Target="/media/image2.gif" Id="R373c006eb0ba4afa" /><Relationship Type="http://schemas.openxmlformats.org/officeDocument/2006/relationships/hyperlink" Target="https://meteor.aihw.gov.au/content/270344" TargetMode="External" Id="R9986afc09bc64c8d" /><Relationship Type="http://schemas.openxmlformats.org/officeDocument/2006/relationships/hyperlink" Target="https://meteor.aihw.gov.au/RegistrationAuthority/12" TargetMode="External" Id="Rbdbf3cb674474a40" /><Relationship Type="http://schemas.openxmlformats.org/officeDocument/2006/relationships/hyperlink" Target="https://meteor.aihw.gov.au/content/273054" TargetMode="External" Id="R77a6365563da4abb" /><Relationship Type="http://schemas.openxmlformats.org/officeDocument/2006/relationships/hyperlink" Target="https://meteor.aihw.gov.au/RegistrationAuthority/12" TargetMode="External" Id="Rc3555a330f994048" /><Relationship Type="http://schemas.openxmlformats.org/officeDocument/2006/relationships/hyperlink" Target="https://meteor.aihw.gov.au/content/304865" TargetMode="External" Id="R5b85f062753d4e02" /><Relationship Type="http://schemas.openxmlformats.org/officeDocument/2006/relationships/hyperlink" Target="https://meteor.aihw.gov.au/RegistrationAuthority/12" TargetMode="External" Id="Rbc4c59dc79a0437a" /></Relationships>
</file>

<file path=word/_rels/header1.xml.rels>&#65279;<?xml version="1.0" encoding="utf-8"?><Relationships xmlns="http://schemas.openxmlformats.org/package/2006/relationships"><Relationship Type="http://schemas.openxmlformats.org/officeDocument/2006/relationships/image" Target="/media/image.png" Id="Rc24d361098574c8f" /></Relationships>
</file>