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0ea07cff424f17"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(depreciation),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(depreciation),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Depreciation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Depreciation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df631ec124eef">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66d8caf6d54d2a">
              <w:r>
                <w:rPr>
                  <w:rStyle w:val="Hyperlink"/>
                </w:rPr>
                <w:t xml:space="preserve">Housing assistance agency—recurrent expenditure (depreciation)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3dce33a78c4daf">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Depreciation costs are as defined by </w:t>
            </w:r>
            <w:r>
              <w:rPr>
                <w:rStyle w:val="row-content-rich-text"/>
                <w:i/>
              </w:rPr>
              <w:t xml:space="preserve">Australian Accounting Standards</w:t>
            </w:r>
            <w:r>
              <w:rPr>
                <w:rStyle w:val="row-content-rich-text"/>
              </w:rPr>
              <w:t xml:space="preserve"> 13 to 17 for the property manager and the tenancy manager for the financial year end.</w:t>
            </w:r>
          </w:p>
          <w:p>
            <w:pPr>
              <w:spacing w:after="160"/>
            </w:pPr>
            <w:r>
              <w:rPr>
                <w:rStyle w:val="row-content-rich-text"/>
              </w:rPr>
              <w:t xml:space="preserve">The depreciation applies to the value of the buildings erected on the land. The land is not depreciated, as it is commodity of limited supply which does not have a limited useful life, and therefore the benefits are not consumed overtime (Coopers and Lybrand 1996).</w:t>
            </w:r>
          </w:p>
          <w:p>
            <w:pPr/>
            <w:r>
              <w:rPr>
                <w:rStyle w:val="row-content-rich-text"/>
              </w:rPr>
              <w:t xml:space="preserve">Depreciation should be calculated on a straight line basis at a rate which realistically represents the useful life of the asset. For consistency a useful life of 50 years is used unless a clear case can be mounted for the adoption of an alternative useful life. Any alternatives must not be in excess of 75 years (Coopers and Lybrand 1995).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Depreciation costs are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b0a8aa6fd054711">
              <w:r>
                <w:drawing>
                  <wp:inline xmlns:wp="http://schemas.openxmlformats.org/drawingml/2006/wordprocessingDrawing" distT="0" distB="0" distL="0" distR="0">
                    <wp:extent cx="152400" cy="152400"/>
                    <wp:effectExtent l="19050" t="0" r="0" b="0"/>
                    <wp:docPr id="2" name="Picture 2" descr="">
                      <a:hlinkClick xmlns:a="http://schemas.openxmlformats.org/drawingml/2006/main" r:id="Reb0a8aa6fd05471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1fc609de38e4271"/>
                            <a:srcRect/>
                            <a:stretch>
                              <a:fillRect/>
                            </a:stretch>
                          </pic:blipFill>
                          <pic:spPr bwMode="auto">
                            <a:xfrm>
                              <a:off x="0" y="0"/>
                              <a:ext cx="152400" cy="152400"/>
                            </a:xfrm>
                            <a:prstGeom prst="rect">
                              <a:avLst/>
                            </a:prstGeom>
                          </pic:spPr>
                        </pic:pic>
                      </a:graphicData>
                    </a:graphic>
                  </wp:inline>
                </w:drawing>
              </w:r>
              <w:r>
                <w:rPr>
                  <w:rStyle w:val="Hyperlink"/>
                </w:rPr>
                <w:t xml:space="preserve"> Depreciation costs, version 1, DE, NHADD, NHDAMG,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ad102d341de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eae3e8abd144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102d341de4828" /><Relationship Type="http://schemas.openxmlformats.org/officeDocument/2006/relationships/header" Target="/word/header1.xml" Id="R586ca763a32b4f3f" /><Relationship Type="http://schemas.openxmlformats.org/officeDocument/2006/relationships/settings" Target="/word/settings.xml" Id="R6dcdf1a1e8094520" /><Relationship Type="http://schemas.openxmlformats.org/officeDocument/2006/relationships/styles" Target="/word/styles.xml" Id="Rf952b029ac1e41a6" /><Relationship Type="http://schemas.openxmlformats.org/officeDocument/2006/relationships/hyperlink" Target="https://meteor.aihw.gov.au/RegistrationAuthority/11" TargetMode="External" Id="R3a9df631ec124eef" /><Relationship Type="http://schemas.openxmlformats.org/officeDocument/2006/relationships/hyperlink" Target="https://meteor.aihw.gov.au/content/269720" TargetMode="External" Id="Rb666d8caf6d54d2a" /><Relationship Type="http://schemas.openxmlformats.org/officeDocument/2006/relationships/hyperlink" Target="https://meteor.aihw.gov.au/content/270772" TargetMode="External" Id="Rb63dce33a78c4daf" /><Relationship Type="http://schemas.openxmlformats.org/officeDocument/2006/relationships/hyperlink" Target="https://meteor.aihw.gov.au/content/273736" TargetMode="External" Id="Reb0a8aa6fd054711" /><Relationship Type="http://schemas.openxmlformats.org/officeDocument/2006/relationships/image" Target="/media/image.gif" Id="R71fc609de38e4271" /></Relationships>
</file>

<file path=word/_rels/header1.xml.rels>&#65279;<?xml version="1.0" encoding="utf-8"?><Relationships xmlns="http://schemas.openxmlformats.org/package/2006/relationships"><Relationship Type="http://schemas.openxmlformats.org/officeDocument/2006/relationships/image" Target="/media/image.png" Id="R88eae3e8abd14414" /></Relationships>
</file>