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ee04c20d5456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cc08be4ac44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24f66b4a58a4c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f358ee6642af4c71">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c4c15fa894c40">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a590e219d4892">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a688f301149e4495">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9e14b20269b41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e14b20269b41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22223ac1f74c01"/>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fdb45ddb84079">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a04b590cbbbd45ae">
              <w:r>
                <w:rPr>
                  <w:rStyle w:val="Hyperlink"/>
                  <w:color w:val="244061"/>
                </w:rPr>
                <w:t xml:space="preserve">Indigenous</w:t>
              </w:r>
            </w:hyperlink>
            <w:r>
              <w:rPr>
                <w:rStyle w:val="row-content"/>
                <w:color w:val="244061"/>
              </w:rPr>
              <w:t xml:space="preserve">, Standard 07/12/2017</w:t>
            </w:r>
          </w:p>
          <w:p>
            <w:r>
              <w:br/>
            </w:r>
            <w:hyperlink w:history="true" r:id="Rb9fa42775c0c4188">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83006ac2755c40db">
              <w:r>
                <w:rPr>
                  <w:rStyle w:val="Hyperlink"/>
                  <w:color w:val="244061"/>
                </w:rPr>
                <w:t xml:space="preserve">Indigenous</w:t>
              </w:r>
            </w:hyperlink>
            <w:r>
              <w:rPr>
                <w:rStyle w:val="row-content"/>
                <w:color w:val="244061"/>
              </w:rPr>
              <w:t xml:space="preserve">, Superseded 07/12/2017</w:t>
            </w:r>
          </w:p>
          <w:p>
            <w:r>
              <w:br/>
            </w:r>
            <w:hyperlink w:history="true" r:id="R885608531f7f40ed">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54d114d3ba83455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927b9f1719fd48ba">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65a1b040350942d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hyperlink w:history="true" r:id="R00ca6ca67eaa4686">
              <w:r>
                <w:rPr>
                  <w:rStyle w:val="Hyperlink"/>
                </w:rPr>
                <w:t xml:space="preserve">Online Services Report (OSR) DSS 2020–21</w:t>
              </w:r>
            </w:hyperlink>
          </w:p>
          <w:p>
            <w:pPr>
              <w:spacing w:before="0" w:after="0"/>
            </w:pPr>
            <w:r>
              <w:rPr>
                <w:rStyle w:val="row-content"/>
                <w:color w:val="244061"/>
              </w:rPr>
              <w:t xml:space="preserve">       </w:t>
            </w:r>
            <w:hyperlink w:history="true" r:id="R2fc2dff8ace44ba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full-time equivalent staff who were not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354efd2c1074f73">
              <w:r>
                <w:rPr>
                  <w:rStyle w:val="Hyperlink"/>
                  <w:b/>
                </w:rPr>
                <w:t xml:space="preserve">funded organisation</w:t>
              </w:r>
            </w:hyperlink>
            <w:r>
              <w:rPr>
                <w:rStyle w:val="row-content"/>
              </w:rPr>
              <w:t xml:space="preserve"> as at the end of the financial year are provided to the AIHW. Data are disaggregated by:</w:t>
            </w:r>
          </w:p>
          <w:p>
            <w:pPr>
              <w:pStyle w:val="ListParagraph"/>
              <w:numPr>
                <w:ilvl w:val="0"/>
                <w:numId w:val="2"/>
              </w:numPr>
            </w:pPr>
            <w:hyperlink w:history="true" r:id="R204517d1d68d402c">
              <w:r>
                <w:rPr>
                  <w:rStyle w:val="Hyperlink"/>
                </w:rPr>
                <w:t xml:space="preserve">Service provider organisation—staffing categories, Aboriginal and Torres Strait Islander primary health care code N[N]{.NN}</w:t>
              </w:r>
            </w:hyperlink>
            <w:r>
              <w:br/>
            </w:r>
            <w:r>
              <w:rPr>
                <w:rStyle w:val="row-content"/>
              </w:rPr>
              <w:t xml:space="preserve">        • CODE 1–CODE 88.</w:t>
            </w:r>
          </w:p>
          <w:p>
            <w:r>
              <w:rPr>
                <w:rStyle w:val="row-content"/>
              </w:rPr>
              <w:t xml:space="preserve">Includes staff who have provided health/clinical services for the funded organisation and who have not been paid either directly or indirectly by the funded organisation. This may include such cases as specialists funded through a visiting specialist scheme or dentists from a university dental school.</w:t>
            </w:r>
          </w:p>
          <w:p>
            <w:pPr>
              <w:jc w:val="left"/>
            </w:pPr>
            <w:r>
              <w:rPr>
                <w:rStyle w:val="row-content"/>
              </w:rPr>
              <w:t xml:space="preserve">Activities to include as an unpaid FTE:</w:t>
            </w:r>
          </w:p>
          <w:p>
            <w:pPr>
              <w:pStyle w:val="ListParagraph"/>
              <w:numPr>
                <w:ilvl w:val="0"/>
                <w:numId w:val="3"/>
              </w:numPr>
            </w:pPr>
            <w:r>
              <w:rPr>
                <w:rStyle w:val="row-content"/>
              </w:rPr>
              <w:t xml:space="preserve">Visiting health professionals where payments are not made by the funded organisation.</w:t>
            </w:r>
          </w:p>
          <w:p>
            <w:pPr>
              <w:pStyle w:val="ListParagraph"/>
              <w:numPr>
                <w:ilvl w:val="0"/>
                <w:numId w:val="3"/>
              </w:numPr>
            </w:pPr>
            <w:r>
              <w:rPr>
                <w:rStyle w:val="row-content"/>
              </w:rPr>
              <w:t xml:space="preserve">Staff who have provided health care services for the funded organisation and who have not been paid either directly or indirectly by the funded organisation.</w:t>
            </w:r>
          </w:p>
          <w:p>
            <w:pPr>
              <w:jc w:val="left"/>
            </w:pPr>
            <w:r>
              <w:rPr>
                <w:rStyle w:val="row-content"/>
              </w:rPr>
              <w:t xml:space="preserve">Activities to not include as an unpaid FTE:</w:t>
            </w:r>
          </w:p>
          <w:p>
            <w:pPr>
              <w:pStyle w:val="ListParagraph"/>
              <w:numPr>
                <w:ilvl w:val="0"/>
                <w:numId w:val="4"/>
              </w:numPr>
            </w:pPr>
            <w:r>
              <w:rPr>
                <w:rStyle w:val="row-content"/>
              </w:rPr>
              <w:t xml:space="preserve">Health and related administrative positions where the funded organisation pays the wages/salary/fees through all sources of funding (e.g. Medicare, Department of Health, state/territory government).</w:t>
            </w:r>
          </w:p>
          <w:p>
            <w:r>
              <w:br/>
            </w:r>
            <w:r>
              <w:br/>
            </w:r>
          </w:p>
        </w:tc>
      </w:tr>
    </w:tbl>
    <w:p/>
    <w:tbl>
      <w:tblPr>
        <w:tblStyle w:val="TableGrid"/>
        <w:tblW w:w="0" w:type="auto"/>
      </w:tblPr>
    </w:tbl>
    <w:p>
      <w:r>
        <w:br/>
      </w:r>
    </w:p>
    <w:sectPr>
      <w:footerReference xmlns:r="http://schemas.openxmlformats.org/officeDocument/2006/relationships" w:type="default" r:id="Rd9de1a61e1b5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da034cf33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e1a61e1b54fdd" /><Relationship Type="http://schemas.openxmlformats.org/officeDocument/2006/relationships/header" Target="/word/header1.xml" Id="R12f69c62a67b428d" /><Relationship Type="http://schemas.openxmlformats.org/officeDocument/2006/relationships/settings" Target="/word/settings.xml" Id="R1264049727ac4c75" /><Relationship Type="http://schemas.openxmlformats.org/officeDocument/2006/relationships/styles" Target="/word/styles.xml" Id="R5e8ba11c4a3f44c2" /><Relationship Type="http://schemas.openxmlformats.org/officeDocument/2006/relationships/hyperlink" Target="https://meteor.aihw.gov.au/RegistrationAuthority/1" TargetMode="External" Id="R740cc08be4ac4485" /><Relationship Type="http://schemas.openxmlformats.org/officeDocument/2006/relationships/hyperlink" Target="https://meteor.aihw.gov.au/RegistrationAuthority/6" TargetMode="External" Id="R424f66b4a58a4c37" /><Relationship Type="http://schemas.openxmlformats.org/officeDocument/2006/relationships/hyperlink" Target="https://meteor.aihw.gov.au/content/327272" TargetMode="External" Id="Rf358ee6642af4c71" /><Relationship Type="http://schemas.openxmlformats.org/officeDocument/2006/relationships/hyperlink" Target="https://meteor.aihw.gov.au/content/269635" TargetMode="External" Id="R1c8c4c15fa894c40" /><Relationship Type="http://schemas.openxmlformats.org/officeDocument/2006/relationships/hyperlink" Target="https://meteor.aihw.gov.au/content/270748" TargetMode="External" Id="Rc47a590e219d4892" /><Relationship Type="http://schemas.openxmlformats.org/officeDocument/2006/relationships/hyperlink" Target="https://meteor.aihw.gov.au/content/327272" TargetMode="External" Id="Ra688f301149e4495" /><Relationship Type="http://schemas.openxmlformats.org/officeDocument/2006/relationships/hyperlink" Target="https://meteor.aihw.gov.au/content/273523" TargetMode="External" Id="R29e14b20269b4124" /><Relationship Type="http://schemas.openxmlformats.org/officeDocument/2006/relationships/image" Target="/media/image.gif" Id="Rd022223ac1f74c01" /><Relationship Type="http://schemas.openxmlformats.org/officeDocument/2006/relationships/hyperlink" Target="https://meteor.aihw.gov.au/content/676950" TargetMode="External" Id="R60bfdb45ddb84079" /><Relationship Type="http://schemas.openxmlformats.org/officeDocument/2006/relationships/hyperlink" Target="https://meteor.aihw.gov.au/RegistrationAuthority/6" TargetMode="External" Id="Ra04b590cbbbd45ae" /><Relationship Type="http://schemas.openxmlformats.org/officeDocument/2006/relationships/hyperlink" Target="https://meteor.aihw.gov.au/content/567269" TargetMode="External" Id="Rb9fa42775c0c4188" /><Relationship Type="http://schemas.openxmlformats.org/officeDocument/2006/relationships/hyperlink" Target="https://meteor.aihw.gov.au/RegistrationAuthority/6" TargetMode="External" Id="R83006ac2755c40db" /><Relationship Type="http://schemas.openxmlformats.org/officeDocument/2006/relationships/hyperlink" Target="https://meteor.aihw.gov.au/content/677147" TargetMode="External" Id="R885608531f7f40ed" /><Relationship Type="http://schemas.openxmlformats.org/officeDocument/2006/relationships/hyperlink" Target="https://meteor.aihw.gov.au/RegistrationAuthority/6" TargetMode="External" Id="R54d114d3ba83455e" /><Relationship Type="http://schemas.openxmlformats.org/officeDocument/2006/relationships/hyperlink" Target="https://meteor.aihw.gov.au/content/568406" TargetMode="External" Id="R927b9f1719fd48ba" /><Relationship Type="http://schemas.openxmlformats.org/officeDocument/2006/relationships/hyperlink" Target="https://meteor.aihw.gov.au/RegistrationAuthority/6" TargetMode="External" Id="R65a1b040350942d2" /><Relationship Type="http://schemas.openxmlformats.org/officeDocument/2006/relationships/hyperlink" Target="https://meteor.aihw.gov.au/content/754789" TargetMode="External" Id="R00ca6ca67eaa4686" /><Relationship Type="http://schemas.openxmlformats.org/officeDocument/2006/relationships/hyperlink" Target="https://meteor.aihw.gov.au/RegistrationAuthority/6" TargetMode="External" Id="R2fc2dff8ace44bad" /><Relationship Type="http://schemas.openxmlformats.org/officeDocument/2006/relationships/hyperlink" Target="https://meteor.aihw.gov.au/content/787038" TargetMode="External" Id="Rf354efd2c1074f73" /><Relationship Type="http://schemas.openxmlformats.org/officeDocument/2006/relationships/numbering" Target="/word/numbering.xml" Id="Rb9b3195394394c6e" /><Relationship Type="http://schemas.openxmlformats.org/officeDocument/2006/relationships/hyperlink" Target="https://meteor.aihw.gov.au/content/755704" TargetMode="External" Id="R204517d1d68d402c" /></Relationships>
</file>

<file path=word/_rels/header1.xml.rels>&#65279;<?xml version="1.0" encoding="utf-8"?><Relationships xmlns="http://schemas.openxmlformats.org/package/2006/relationships"><Relationship Type="http://schemas.openxmlformats.org/officeDocument/2006/relationships/image" Target="/media/image.png" Id="R067da034cf334dc9" /></Relationships>
</file>