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bf67b74df3466b" /></Relationships>
</file>

<file path=word/document.xml><?xml version="1.0" encoding="utf-8"?>
<w:document xmlns:r="http://schemas.openxmlformats.org/officeDocument/2006/relationships" xmlns:w="http://schemas.openxmlformats.org/wordprocessingml/2006/main">
  <w:body>
    <w:p>
      <w:pPr>
        <w:pStyle w:val="Title"/>
      </w:pPr>
      <w:r>
        <w:t>Person with cancer—morphology of cancer, code (ICDO-3)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cancer—morphology of cancer, code (ICDO-3)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Morphology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ce8efc9e8e433f">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histological classification of the cancer tissue (histopathological type) and a description of the course of development that a tumour is likely to take: benign or malignant (behaviour),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4ca7c2c1fe472e">
              <w:r>
                <w:rPr>
                  <w:rStyle w:val="Hyperlink"/>
                </w:rPr>
                <w:t xml:space="preserve">Person with cancer—morphology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f00a2923b74567">
              <w:r>
                <w:rPr>
                  <w:rStyle w:val="Hyperlink"/>
                </w:rPr>
                <w:t xml:space="preserve">Morphology of cancer code (ICDO-3)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26fc39dd04e4f04">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ICDO morphology describes histology and behaviour as separate variables, recognising that there are a large number of possible combinations.</w:t>
            </w:r>
          </w:p>
          <w:p>
            <w:pPr>
              <w:spacing w:after="160"/>
            </w:pPr>
            <w:r>
              <w:rPr>
                <w:rStyle w:val="row-content-rich-text"/>
              </w:rPr>
              <w:t xml:space="preserve">In ICDO, morphology is a 4-digit number ranging from 8000 to 9989, and behaviour is a single digit which can be 0, 1, 2, 3, 6 or 9.</w:t>
            </w:r>
          </w:p>
          <w:p>
            <w:pPr>
              <w:spacing w:after="160"/>
            </w:pPr>
            <w:r>
              <w:rPr>
                <w:rStyle w:val="row-content-rich-text"/>
              </w:rPr>
              <w:t xml:space="preserve">Record morphology codes in accordance with ICDO coding standards. Use the 5th-digit to record behaviour. The 5th-digit behaviour code numbers used in ICDO are listed below:</w:t>
            </w:r>
          </w:p>
          <w:p>
            <w:pPr>
              <w:spacing w:after="160"/>
            </w:pPr>
            <w:r>
              <w:rPr>
                <w:rStyle w:val="row-content-rich-text"/>
              </w:rPr>
              <w:t xml:space="preserve">0 Benign</w:t>
            </w:r>
          </w:p>
          <w:p>
            <w:pPr>
              <w:spacing w:after="160"/>
            </w:pPr>
            <w:r>
              <w:rPr>
                <w:rStyle w:val="row-content-rich-text"/>
              </w:rPr>
              <w:t xml:space="preserve">1 Uncertain whether benign or malignant</w:t>
            </w:r>
          </w:p>
          <w:p>
            <w:pPr>
              <w:pStyle w:val="ListParagraph"/>
              <w:numPr>
                <w:ilvl w:val="0"/>
                <w:numId w:val="2"/>
              </w:numPr>
            </w:pPr>
            <w:r>
              <w:rPr>
                <w:rStyle w:val="row-content-rich-text"/>
              </w:rPr>
              <w:t xml:space="preserve">borderline malignancy</w:t>
            </w:r>
          </w:p>
          <w:p>
            <w:pPr>
              <w:pStyle w:val="ListParagraph"/>
              <w:numPr>
                <w:ilvl w:val="0"/>
                <w:numId w:val="2"/>
              </w:numPr>
            </w:pPr>
            <w:r>
              <w:rPr>
                <w:rStyle w:val="row-content-rich-text"/>
              </w:rPr>
              <w:t xml:space="preserve">low malignant potential </w:t>
            </w:r>
          </w:p>
          <w:p>
            <w:pPr>
              <w:spacing w:after="160"/>
            </w:pPr>
            <w:r>
              <w:rPr>
                <w:rStyle w:val="row-content-rich-text"/>
              </w:rPr>
              <w:t xml:space="preserve">2 Carcinoma in situ</w:t>
            </w:r>
          </w:p>
          <w:p>
            <w:pPr>
              <w:pStyle w:val="ListParagraph"/>
              <w:numPr>
                <w:ilvl w:val="0"/>
                <w:numId w:val="3"/>
              </w:numPr>
            </w:pPr>
            <w:r>
              <w:rPr>
                <w:rStyle w:val="row-content-rich-text"/>
              </w:rPr>
              <w:t xml:space="preserve">intraepithelial</w:t>
            </w:r>
          </w:p>
          <w:p>
            <w:pPr>
              <w:pStyle w:val="ListParagraph"/>
              <w:numPr>
                <w:ilvl w:val="0"/>
                <w:numId w:val="3"/>
              </w:numPr>
            </w:pPr>
            <w:r>
              <w:rPr>
                <w:rStyle w:val="row-content-rich-text"/>
              </w:rPr>
              <w:t xml:space="preserve">non-infiltrating</w:t>
            </w:r>
          </w:p>
          <w:p>
            <w:pPr>
              <w:pStyle w:val="ListParagraph"/>
              <w:numPr>
                <w:ilvl w:val="0"/>
                <w:numId w:val="3"/>
              </w:numPr>
            </w:pPr>
            <w:r>
              <w:rPr>
                <w:rStyle w:val="row-content-rich-text"/>
              </w:rPr>
              <w:t xml:space="preserve">non-invasive </w:t>
            </w:r>
          </w:p>
          <w:p>
            <w:pPr>
              <w:spacing w:after="160"/>
            </w:pPr>
            <w:r>
              <w:rPr>
                <w:rStyle w:val="row-content-rich-text"/>
              </w:rPr>
              <w:t xml:space="preserve">3 Malignant, primary site</w:t>
            </w:r>
          </w:p>
          <w:p>
            <w:pPr>
              <w:spacing w:after="160"/>
            </w:pPr>
            <w:r>
              <w:rPr>
                <w:rStyle w:val="row-content-rich-text"/>
              </w:rPr>
              <w:t xml:space="preserve">6 Malignant, metastatic site</w:t>
            </w:r>
          </w:p>
          <w:p>
            <w:pPr>
              <w:pStyle w:val="ListParagraph"/>
              <w:numPr>
                <w:ilvl w:val="0"/>
                <w:numId w:val="4"/>
              </w:numPr>
            </w:pPr>
            <w:r>
              <w:rPr>
                <w:rStyle w:val="row-content-rich-text"/>
              </w:rPr>
              <w:t xml:space="preserve">malignant, secondary site </w:t>
            </w:r>
          </w:p>
          <w:p>
            <w:pPr/>
            <w:r>
              <w:rPr>
                <w:rStyle w:val="row-content-rich-text"/>
              </w:rPr>
              <w:t xml:space="preserve">9 Malignant, uncertain whether primary or metastatic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Third Edition (ICDO-3)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registry use:</w:t>
            </w:r>
          </w:p>
          <w:p>
            <w:pPr>
              <w:spacing w:after="160"/>
            </w:pPr>
            <w:r>
              <w:rPr>
                <w:rStyle w:val="row-content-rich-text"/>
              </w:rPr>
              <w:t xml:space="preserve">In cancer registries morphology information should be obtained from a pathology report or pathology system, and recorded with/on the patient's medical record and/or the hospital's patient administration system. Additional information may also be sought from the patient's attending clinician or medical practitioner.</w:t>
            </w:r>
          </w:p>
          <w:p>
            <w:pPr>
              <w:spacing w:after="160"/>
            </w:pPr>
            <w:r>
              <w:rPr>
                <w:rStyle w:val="row-content-rich-text"/>
              </w:rPr>
              <w:t xml:space="preserve">Hospital morbidity use:</w:t>
            </w:r>
          </w:p>
          <w:p>
            <w:pPr/>
            <w:r>
              <w:rPr>
                <w:rStyle w:val="row-content-rich-text"/>
              </w:rPr>
              <w:t xml:space="preserve">In hospitals, the morphology code is modified for use with ICD-10-AM. The morphology code consists of histologic type (4 digits) and behaviour code (1 digit) ranging from 8000/0 to 9989/9. The '/' between the fourth and fifth digits is not supplied.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w:t>
            </w:r>
          </w:p>
          <w:p>
            <w:pPr>
              <w:spacing w:after="160"/>
            </w:pPr>
            <w:r>
              <w:rPr>
                <w:rStyle w:val="row-content-rich-text"/>
              </w:rPr>
              <w:t xml:space="preserve">New South Wales Health Department</w:t>
            </w:r>
          </w:p>
          <w:p>
            <w:pPr/>
            <w:r>
              <w:rPr>
                <w:rStyle w:val="row-content-rich-text"/>
              </w:rPr>
              <w:t xml:space="preserve">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New South Wales Inpatient Statistics Collection Manual, 2000/2001</w:t>
            </w:r>
          </w:p>
          <w:p>
            <w:pPr/>
            <w:r>
              <w:rPr>
                <w:rStyle w:val="row-content-rich-text"/>
              </w:rPr>
              <w:t xml:space="preserve">Esteban D, Whelan S, Laudico A and Parkin DM editors. International Agency for Research on Cancer World Health Organization and International Association of Cancer Registries: Manual for cancer registry personnel. IARC Technical Report No 10. Lyon: IARC,1995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9f58e9c0294f8c">
              <w:r>
                <w:rPr>
                  <w:rStyle w:val="Hyperlink"/>
                </w:rPr>
                <w:t xml:space="preserve">Person with cancer—morphology of cancer, code (ICDO-3) NNNN/N</w:t>
              </w:r>
            </w:hyperlink>
          </w:p>
          <w:p>
            <w:pPr>
              <w:spacing w:before="0" w:after="0"/>
            </w:pPr>
            <w:r>
              <w:rPr>
                <w:rStyle w:val="row-content"/>
                <w:color w:val="244061"/>
              </w:rPr>
              <w:t xml:space="preserve">       </w:t>
            </w:r>
            <w:hyperlink w:history="true" r:id="R149e7a3572a34aa8">
              <w:r>
                <w:rPr>
                  <w:rStyle w:val="Hyperlink"/>
                  <w:color w:val="244061"/>
                </w:rPr>
                <w:t xml:space="preserve">Health</w:t>
              </w:r>
            </w:hyperlink>
            <w:r>
              <w:rPr>
                <w:rStyle w:val="row-content"/>
                <w:color w:val="244061"/>
              </w:rPr>
              <w:t xml:space="preserve">, Superseded 07/12/2011</w:t>
            </w:r>
          </w:p>
          <w:p>
            <w:r>
              <w:br/>
            </w:r>
            <w:r>
              <w:rPr>
                <w:rStyle w:val="row-content"/>
              </w:rPr>
              <w:t xml:space="preserve">Is re-engineered from </w:t>
            </w:r>
            <w:hyperlink w:history="true" r:id="Rbfb9101565e34362">
              <w:r>
                <w:drawing>
                  <wp:inline xmlns:wp="http://schemas.openxmlformats.org/drawingml/2006/wordprocessingDrawing" distT="0" distB="0" distL="0" distR="0">
                    <wp:extent cx="152400" cy="152400"/>
                    <wp:effectExtent l="19050" t="0" r="0" b="0"/>
                    <wp:docPr id="2" name="Picture 2" descr="">
                      <a:hlinkClick xmlns:a="http://schemas.openxmlformats.org/drawingml/2006/main" r:id="Rbfb9101565e3436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465460406bc4a8b"/>
                            <a:srcRect/>
                            <a:stretch>
                              <a:fillRect/>
                            </a:stretch>
                          </pic:blipFill>
                          <pic:spPr bwMode="auto">
                            <a:xfrm>
                              <a:off x="0" y="0"/>
                              <a:ext cx="152400" cy="152400"/>
                            </a:xfrm>
                            <a:prstGeom prst="rect">
                              <a:avLst/>
                            </a:prstGeom>
                          </pic:spPr>
                        </pic:pic>
                      </a:graphicData>
                    </a:graphic>
                  </wp:inline>
                </w:drawing>
              </w:r>
              <w:r>
                <w:rPr>
                  <w:rStyle w:val="Hyperlink"/>
                </w:rPr>
                <w:t xml:space="preserve"> Morphology of cancer,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009df1eda8406f">
              <w:r>
                <w:rPr>
                  <w:rStyle w:val="Hyperlink"/>
                </w:rPr>
                <w:t xml:space="preserve">Cancer (clinical) DSS</w:t>
              </w:r>
            </w:hyperlink>
          </w:p>
          <w:p>
            <w:pPr>
              <w:spacing w:before="0" w:after="0"/>
            </w:pPr>
            <w:r>
              <w:rPr>
                <w:rStyle w:val="row-content"/>
                <w:color w:val="244061"/>
              </w:rPr>
              <w:t xml:space="preserve">       </w:t>
            </w:r>
            <w:hyperlink w:history="true" r:id="Raf91aca75b3b494f">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information is collected for the purpose of:</w:t>
            </w:r>
          </w:p>
          <w:p>
            <w:pPr>
              <w:pStyle w:val="ListParagraph"/>
              <w:numPr>
                <w:ilvl w:val="0"/>
                <w:numId w:val="5"/>
              </w:numPr>
            </w:pPr>
            <w:r>
              <w:rPr>
                <w:rStyle w:val="row-content"/>
              </w:rP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5"/>
              </w:numPr>
            </w:pPr>
            <w:r>
              <w:rPr>
                <w:rStyle w:val="row-content"/>
              </w:rPr>
              <w:t xml:space="preserve">monitoring the number of new cases of cancer for planning treatment services.</w:t>
            </w:r>
          </w:p>
          <w:p>
            <w:r>
              <w:br/>
            </w:r>
            <w:r>
              <w:br/>
            </w:r>
            <w:hyperlink w:history="true" r:id="Rfb51a1c956bd4232">
              <w:r>
                <w:rPr>
                  <w:rStyle w:val="Hyperlink"/>
                </w:rPr>
                <w:t xml:space="preserve">Cancer (clinical) DSS</w:t>
              </w:r>
            </w:hyperlink>
          </w:p>
          <w:p>
            <w:pPr>
              <w:spacing w:before="0" w:after="0"/>
            </w:pPr>
            <w:r>
              <w:rPr>
                <w:rStyle w:val="row-content"/>
                <w:color w:val="244061"/>
              </w:rPr>
              <w:t xml:space="preserve">       </w:t>
            </w:r>
            <w:hyperlink w:history="true" r:id="R80b28f712b404156">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This information is collected for the purpose of:</w:t>
            </w:r>
          </w:p>
          <w:p>
            <w:pPr>
              <w:pStyle w:val="ListParagraph"/>
              <w:numPr>
                <w:ilvl w:val="0"/>
                <w:numId w:val="6"/>
              </w:numPr>
            </w:pPr>
            <w:r>
              <w:rPr>
                <w:rStyle w:val="row-content"/>
              </w:rP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6"/>
              </w:numPr>
            </w:pPr>
            <w:r>
              <w:rPr>
                <w:rStyle w:val="row-content"/>
              </w:rPr>
              <w:t xml:space="preserve">monitoring the number of new cases of cancer for planning treatment services.</w:t>
            </w:r>
          </w:p>
          <w:p>
            <w:r>
              <w:br/>
            </w:r>
            <w:r>
              <w:br/>
            </w:r>
          </w:p>
        </w:tc>
      </w:tr>
    </w:tbl>
    <w:p/>
    <w:tbl>
      <w:tblPr>
        <w:tblStyle w:val="TableGrid"/>
        <w:tblW w:w="0" w:type="auto"/>
      </w:tblPr>
    </w:tbl>
    <w:p>
      <w:r>
        <w:br/>
      </w:r>
    </w:p>
    <w:sectPr>
      <w:footerReference xmlns:r="http://schemas.openxmlformats.org/officeDocument/2006/relationships" w:type="default" r:id="R06334936e1ae46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270179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5bf69359e044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334936e1ae4663" /><Relationship Type="http://schemas.openxmlformats.org/officeDocument/2006/relationships/header" Target="/word/header1.xml" Id="Reca0ad1d3fdf4f3d" /><Relationship Type="http://schemas.openxmlformats.org/officeDocument/2006/relationships/settings" Target="/word/settings.xml" Id="R41c7b3718bf5472e" /><Relationship Type="http://schemas.openxmlformats.org/officeDocument/2006/relationships/styles" Target="/word/styles.xml" Id="R7e19a5cf8ee74777" /><Relationship Type="http://schemas.openxmlformats.org/officeDocument/2006/relationships/hyperlink" Target="https://meteor.aihw.gov.au/RegistrationAuthority/12" TargetMode="External" Id="R6fce8efc9e8e433f" /><Relationship Type="http://schemas.openxmlformats.org/officeDocument/2006/relationships/hyperlink" Target="https://meteor.aihw.gov.au/content/269647" TargetMode="External" Id="Rb74ca7c2c1fe472e" /><Relationship Type="http://schemas.openxmlformats.org/officeDocument/2006/relationships/hyperlink" Target="https://meteor.aihw.gov.au/content/270756" TargetMode="External" Id="Rf5f00a2923b74567" /><Relationship Type="http://schemas.openxmlformats.org/officeDocument/2006/relationships/hyperlink" Target="https://meteor.aihw.gov.au/content/270553" TargetMode="External" Id="R226fc39dd04e4f04" /><Relationship Type="http://schemas.openxmlformats.org/officeDocument/2006/relationships/numbering" Target="/word/numbering.xml" Id="R537cee88b2514991" /><Relationship Type="http://schemas.openxmlformats.org/officeDocument/2006/relationships/hyperlink" Target="https://meteor.aihw.gov.au/content/370023" TargetMode="External" Id="Rdd9f58e9c0294f8c" /><Relationship Type="http://schemas.openxmlformats.org/officeDocument/2006/relationships/hyperlink" Target="https://meteor.aihw.gov.au/RegistrationAuthority/12" TargetMode="External" Id="R149e7a3572a34aa8" /><Relationship Type="http://schemas.openxmlformats.org/officeDocument/2006/relationships/hyperlink" Target="https://meteor.aihw.gov.au/content/273793" TargetMode="External" Id="Rbfb9101565e34362" /><Relationship Type="http://schemas.openxmlformats.org/officeDocument/2006/relationships/image" Target="/media/image.gif" Id="Ra465460406bc4a8b" /><Relationship Type="http://schemas.openxmlformats.org/officeDocument/2006/relationships/hyperlink" Target="https://meteor.aihw.gov.au/content/289280" TargetMode="External" Id="Rb0009df1eda8406f" /><Relationship Type="http://schemas.openxmlformats.org/officeDocument/2006/relationships/hyperlink" Target="https://meteor.aihw.gov.au/RegistrationAuthority/12" TargetMode="External" Id="Raf91aca75b3b494f" /><Relationship Type="http://schemas.openxmlformats.org/officeDocument/2006/relationships/hyperlink" Target="https://meteor.aihw.gov.au/content/334019" TargetMode="External" Id="Rfb51a1c956bd4232" /><Relationship Type="http://schemas.openxmlformats.org/officeDocument/2006/relationships/hyperlink" Target="https://meteor.aihw.gov.au/RegistrationAuthority/12" TargetMode="External" Id="R80b28f712b404156" /></Relationships>
</file>

<file path=word/_rels/header1.xml.rels>&#65279;<?xml version="1.0" encoding="utf-8"?><Relationships xmlns="http://schemas.openxmlformats.org/package/2006/relationships"><Relationship Type="http://schemas.openxmlformats.org/officeDocument/2006/relationships/image" Target="/media/image.png" Id="R035bf69359e0445d" /></Relationships>
</file>