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bbf7a0e0674c7e" /></Relationships>
</file>

<file path=word/document.xml><?xml version="1.0" encoding="utf-8"?>
<w:document xmlns:r="http://schemas.openxmlformats.org/officeDocument/2006/relationships" xmlns:w="http://schemas.openxmlformats.org/wordprocessingml/2006/main">
  <w:body>
    <w:p>
      <w:pPr>
        <w:pStyle w:val="Title"/>
      </w:pPr>
      <w:r>
        <w:t>Person (requiring care)—carer availability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(requiring care)—carer availability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availability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1862c61af436b">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f82eb9a869184f39">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someone, such as a </w:t>
            </w:r>
          </w:p>
          <w:p>
            <w:hyperlink w:tooltip="Two or more people related by blood, marriage (including step-relations), adoption or fostering and who may or may not live together. They may form the central core of support networks for individuals." w:history="true" r:id="R0b84bd5ae4784314">
              <w:r>
                <w:rPr>
                  <w:rStyle w:val="Hyperlink"/>
                  <w:b/>
                </w:rPr>
                <w:t xml:space="preserve">family</w:t>
              </w:r>
            </w:hyperlink>
            <w:r>
              <w:rPr>
                <w:rStyle w:val="row-content-rich-text"/>
              </w:rPr>
              <w:t xml:space="preserve"> member, friend or neighbour, has been identified as providing regular and sustained informal care and assistance to the person requiring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13bfdda82b4c0a">
              <w:r>
                <w:rPr>
                  <w:rStyle w:val="Hyperlink"/>
                </w:rPr>
                <w:t xml:space="preserve">Person (requiring care)—carer availability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9c64d720c846f6">
              <w:r>
                <w:rPr>
                  <w:rStyle w:val="Hyperlink"/>
                </w:rPr>
                <w:t xml:space="preserve">Carer availability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Has no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purely descriptive of a client's circumstances. It is not intended to reflect whether the carer is considered by the service provider to be capable of undertaking the caring role.</w:t>
            </w:r>
          </w:p>
          <w:p>
            <w:pPr>
              <w:spacing w:after="160"/>
            </w:pPr>
            <w:r>
              <w:rPr>
                <w:rStyle w:val="row-content-rich-text"/>
              </w:rPr>
              <w:t xml:space="preserve">In line with this, the expressed views of the client and/or their carer should be used as the basis for determining whether the client is recorded as having a carer or not.</w:t>
            </w:r>
          </w:p>
          <w:p>
            <w:pPr>
              <w:spacing w:after="160"/>
            </w:pPr>
            <w:r>
              <w:rPr>
                <w:rStyle w:val="row-content-rich-text"/>
              </w:rPr>
              <w:t xml:space="preserve">A carer is someone who provides a significant amount of care and/or assistance to the person on a regular and sustained basis. Excluded from the definition of carers are paid workers or volunteers organised by formal services (including paid staff in funded group houses).</w:t>
            </w:r>
          </w:p>
          <w:p>
            <w:pPr>
              <w:spacing w:after="160"/>
            </w:pPr>
            <w:r>
              <w:rPr>
                <w:rStyle w:val="row-content-rich-text"/>
              </w:rPr>
              <w:t xml:space="preserve">When asking a client about the availability of a carer, it is important for agencies or establishments to recognise that a carer does not always live with the person for whom they care. That is, a person providing significant care and assistance to the client does not have to live with the client in order to be called a carer.</w:t>
            </w:r>
          </w:p>
          <w:p>
            <w:pPr/>
            <w:r>
              <w:rPr>
                <w:rStyle w:val="row-content-rich-text"/>
              </w:rPr>
              <w:t xml:space="preserve">The availability of a carer should also be distinguished from living with someone else. Although in many instances a co-resident will also be a carer, this is not necessarily the case. The metadata item Person—living arrangement (health), code N is designed to record information about person(s) with whom the client may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or establishments and service providers may collect this item at the beginning of each service episode and also assess this information at subsequent assessments or re-assessments.</w:t>
            </w:r>
          </w:p>
          <w:p>
            <w:pPr/>
            <w:r>
              <w:rPr>
                <w:rStyle w:val="row-content-rich-text"/>
              </w:rPr>
              <w:t xml:space="preserve">Some agencies, establishments/providers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Recent years have witnessed a growing recognition of the critical role that informal support networks play in caring for frail older people and people with disabilities within the community. Not only are informal carers responsible for maintaining people with often high levels of functional dependence within the community, but the absence of an informal carer is a significant risk factor contributing to institutionalisation. Increasing interest in the needs of carers and the role they play has prompted greater interest in collecting more reliable and detailed information about carers and the relationship between informal care and the provision of and need for formal services.</w:t>
            </w:r>
          </w:p>
          <w:p>
            <w:pPr/>
            <w:r>
              <w:rPr>
                <w:rStyle w:val="row-content-rich-text"/>
              </w:rPr>
              <w:t xml:space="preserve">This definition of informal carer availability is not the same as the Australian Bureau of Statistics (ABS) definition of principal carer, 1993 Disability, Ageing and Carers Survey and primary carer used in the 1998 survey. The ABS definitions require that the carer has or will provide care for a certain amount of time and that they provide certain types of care. This may not be appropriate for agencies or establishments wishing to obtain information about a person's carer regardless of the amount of time that care is for or the types of care provided. Information such as the amount of time for which care is provided can of course be collected separately but, if it were not needed, it would place a burden on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w:t>
            </w:r>
          </w:p>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1993 Disability, Ageing and Carers Survey and 1998 survey.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95c9721ab748aa">
              <w:r>
                <w:rPr>
                  <w:rStyle w:val="Hyperlink"/>
                </w:rPr>
                <w:t xml:space="preserve">Person—informal carer existence indicator, code N</w:t>
              </w:r>
            </w:hyperlink>
          </w:p>
          <w:p>
            <w:pPr>
              <w:spacing w:before="0" w:after="0"/>
            </w:pPr>
            <w:r>
              <w:rPr>
                <w:rStyle w:val="row-content"/>
                <w:color w:val="244061"/>
              </w:rPr>
              <w:t xml:space="preserve">       </w:t>
            </w:r>
            <w:hyperlink w:history="true" r:id="R4835b3dd83694a5a">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3a05cab0b9d1473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d197deb485dd45b0">
              <w:r>
                <w:rPr>
                  <w:rStyle w:val="Hyperlink"/>
                  <w:color w:val="244061"/>
                </w:rPr>
                <w:t xml:space="preserve">Health</w:t>
              </w:r>
            </w:hyperlink>
            <w:r>
              <w:rPr>
                <w:rStyle w:val="row-content"/>
                <w:color w:val="244061"/>
              </w:rPr>
              <w:t xml:space="preserve">, Superseded 17/10/2018</w:t>
            </w:r>
          </w:p>
          <w:p>
            <w:r>
              <w:br/>
            </w:r>
            <w:r>
              <w:rPr>
                <w:rStyle w:val="row-content"/>
              </w:rPr>
              <w:t xml:space="preserve">Is re-engineered from </w:t>
            </w:r>
            <w:hyperlink w:history="true" r:id="R10ed5be51ba34b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0ed5be51ba34b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f00d53457c14537"/>
                            <a:srcRect/>
                            <a:stretch>
                              <a:fillRect/>
                            </a:stretch>
                          </pic:blipFill>
                          <pic:spPr bwMode="auto">
                            <a:xfrm>
                              <a:off x="0" y="0"/>
                              <a:ext cx="152400" cy="152400"/>
                            </a:xfrm>
                            <a:prstGeom prst="rect">
                              <a:avLst/>
                            </a:prstGeom>
                          </pic:spPr>
                        </pic:pic>
                      </a:graphicData>
                    </a:graphic>
                  </wp:inline>
                </w:drawing>
              </w:r>
              <w:r>
                <w:rPr>
                  <w:rStyle w:val="Hyperlink"/>
                </w:rPr>
                <w:t xml:space="preserve"> Informal carer availability, version 4, DE, Int. NCSDD &amp; NHDD, NCSIMG &amp; NHIMG, Superseded 01/03/2005.pdf</w:t>
              </w:r>
            </w:hyperlink>
          </w:p>
          <w:p>
            <w:r>
              <w:rPr>
                <w:rStyle w:val="row-content"/>
              </w:rPr>
              <w:t xml:space="preserve"> (20.5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bfe780ef51415f">
              <w:r>
                <w:rPr>
                  <w:rStyle w:val="Hyperlink"/>
                </w:rPr>
                <w:t xml:space="preserve">Cardiovascular disease (clinical) DSS</w:t>
              </w:r>
            </w:hyperlink>
          </w:p>
          <w:p>
            <w:pPr>
              <w:spacing w:before="0" w:after="0"/>
            </w:pPr>
            <w:r>
              <w:rPr>
                <w:rStyle w:val="row-content"/>
                <w:color w:val="244061"/>
              </w:rPr>
              <w:t xml:space="preserve">       </w:t>
            </w:r>
            <w:hyperlink w:history="true" r:id="Rba2bae80887a403d">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hyperlink w:history="true" r:id="R70506c5d8cc94c68">
              <w:r>
                <w:rPr>
                  <w:rStyle w:val="Hyperlink"/>
                </w:rPr>
                <w:t xml:space="preserve">Cardiovascular disease (clinical) DSS</w:t>
              </w:r>
            </w:hyperlink>
          </w:p>
          <w:p>
            <w:pPr>
              <w:spacing w:before="0" w:after="0"/>
            </w:pPr>
            <w:r>
              <w:rPr>
                <w:rStyle w:val="row-content"/>
                <w:color w:val="244061"/>
              </w:rPr>
              <w:t xml:space="preserve">       </w:t>
            </w:r>
            <w:hyperlink w:history="true" r:id="R8b57466776f24d49">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Informal carers are now present in 1 in 20 households in Australia (Schofield HL. Herrman HE, Bloch S, Howe A and Singh B. ANZ J PubH. 1997) and are acknowledged as having a very important role in the care of stroke survivors (Stroke Australia Task Force. National Stroke Strategy. NSF; 1997) and in those with end-stage renal disease.</w:t>
            </w:r>
          </w:p>
          <w:p>
            <w:r>
              <w:rPr>
                <w:rStyle w:val="row-content"/>
              </w:rPr>
              <w:t xml:space="preserve">Absence of a carer may also preclude certain treatment approaches (for example, home dialysis for end-stage renal disease). Social isolation has also been shown to have a negative impact on prognosis in males with known coronary artery disease with several studies suggesting increased mortality rates in those living alone or with no confidant.</w:t>
            </w:r>
          </w:p>
          <w:p>
            <w:r>
              <w:br/>
            </w:r>
            <w:r>
              <w:br/>
            </w:r>
          </w:p>
        </w:tc>
      </w:tr>
    </w:tbl>
    <w:p/>
    <w:tbl>
      <w:tblPr>
        <w:tblStyle w:val="TableGrid"/>
        <w:tblW w:w="0" w:type="auto"/>
      </w:tblPr>
    </w:tbl>
    <w:p>
      <w:r>
        <w:br/>
      </w:r>
    </w:p>
    <w:sectPr>
      <w:footerReference xmlns:r="http://schemas.openxmlformats.org/officeDocument/2006/relationships" w:type="default" r:id="R3caecf16e5804a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ca38e0c318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aecf16e5804a8f" /><Relationship Type="http://schemas.openxmlformats.org/officeDocument/2006/relationships/header" Target="/word/header1.xml" Id="R18ace458a8b94aa6" /><Relationship Type="http://schemas.openxmlformats.org/officeDocument/2006/relationships/settings" Target="/word/settings.xml" Id="Re979f3e099f14081" /><Relationship Type="http://schemas.openxmlformats.org/officeDocument/2006/relationships/styles" Target="/word/styles.xml" Id="Rb87b6f14e0f04099" /><Relationship Type="http://schemas.openxmlformats.org/officeDocument/2006/relationships/hyperlink" Target="https://meteor.aihw.gov.au/RegistrationAuthority/1" TargetMode="External" Id="Rc651862c61af436b" /><Relationship Type="http://schemas.openxmlformats.org/officeDocument/2006/relationships/hyperlink" Target="https://meteor.aihw.gov.au/RegistrationAuthority/12" TargetMode="External" Id="Rf82eb9a869184f39" /><Relationship Type="http://schemas.openxmlformats.org/officeDocument/2006/relationships/hyperlink" Target="https://meteor.aihw.gov.au/content/327232" TargetMode="External" Id="R0b84bd5ae4784314" /><Relationship Type="http://schemas.openxmlformats.org/officeDocument/2006/relationships/hyperlink" Target="https://meteor.aihw.gov.au/content/269629" TargetMode="External" Id="R7e13bfdda82b4c0a" /><Relationship Type="http://schemas.openxmlformats.org/officeDocument/2006/relationships/hyperlink" Target="https://meteor.aihw.gov.au/content/270744" TargetMode="External" Id="Ref9c64d720c846f6" /><Relationship Type="http://schemas.openxmlformats.org/officeDocument/2006/relationships/hyperlink" Target="https://meteor.aihw.gov.au/content/320939" TargetMode="External" Id="Rb295c9721ab748aa" /><Relationship Type="http://schemas.openxmlformats.org/officeDocument/2006/relationships/hyperlink" Target="https://meteor.aihw.gov.au/RegistrationAuthority/1" TargetMode="External" Id="R4835b3dd83694a5a" /><Relationship Type="http://schemas.openxmlformats.org/officeDocument/2006/relationships/hyperlink" Target="https://meteor.aihw.gov.au/RegistrationAuthority/16" TargetMode="External" Id="R3a05cab0b9d1473c" /><Relationship Type="http://schemas.openxmlformats.org/officeDocument/2006/relationships/hyperlink" Target="https://meteor.aihw.gov.au/RegistrationAuthority/12" TargetMode="External" Id="Rd197deb485dd45b0" /><Relationship Type="http://schemas.openxmlformats.org/officeDocument/2006/relationships/hyperlink" Target="https://meteor.aihw.gov.au/content/273942" TargetMode="External" Id="R10ed5be51ba34b96" /><Relationship Type="http://schemas.openxmlformats.org/officeDocument/2006/relationships/image" Target="/media/image.gif" Id="R5f00d53457c14537" /><Relationship Type="http://schemas.openxmlformats.org/officeDocument/2006/relationships/hyperlink" Target="https://meteor.aihw.gov.au/content/273052" TargetMode="External" Id="Rdcbfe780ef51415f" /><Relationship Type="http://schemas.openxmlformats.org/officeDocument/2006/relationships/hyperlink" Target="https://meteor.aihw.gov.au/RegistrationAuthority/12" TargetMode="External" Id="Rba2bae80887a403d" /><Relationship Type="http://schemas.openxmlformats.org/officeDocument/2006/relationships/hyperlink" Target="https://meteor.aihw.gov.au/content/348289" TargetMode="External" Id="R70506c5d8cc94c68" /><Relationship Type="http://schemas.openxmlformats.org/officeDocument/2006/relationships/hyperlink" Target="https://meteor.aihw.gov.au/RegistrationAuthority/12" TargetMode="External" Id="R8b57466776f24d49" /></Relationships>
</file>

<file path=word/_rels/header1.xml.rels>&#65279;<?xml version="1.0" encoding="utf-8"?><Relationships xmlns="http://schemas.openxmlformats.org/package/2006/relationships"><Relationship Type="http://schemas.openxmlformats.org/officeDocument/2006/relationships/image" Target="/media/image.png" Id="Rd7ca38e0c3184314" /></Relationships>
</file>