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0f0faf13cd46a0" /></Relationships>
</file>

<file path=word/document.xml><?xml version="1.0" encoding="utf-8"?>
<w:document xmlns:r="http://schemas.openxmlformats.org/officeDocument/2006/relationships" xmlns:w="http://schemas.openxmlformats.org/wordprocessingml/2006/main">
  <w:body>
    <w:p>
      <w:pPr>
        <w:pStyle w:val="Title"/>
      </w:pPr>
      <w:r>
        <w:t>Person—foot lesion status (active),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lesion status (active),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Person—foot lesion status (active),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lesion -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8b0d0709a49e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d8288d32bd4c8e">
              <w:r>
                <w:rPr>
                  <w:rStyle w:val="Hyperlink"/>
                </w:rPr>
                <w:t xml:space="preserve">Person—foot lesion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955321ec4a4121">
              <w:r>
                <w:rPr>
                  <w:rStyle w:val="Hyperlink"/>
                </w:rPr>
                <w:t xml:space="preserve">Active foot lesion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lesion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lesion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current active foot lesion other than ulceration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Principles of Care and Guidelines for the Clinical Management of Diabetes Mellitus foot examination:</w:t>
            </w:r>
          </w:p>
          <w:p>
            <w:pPr>
              <w:pStyle w:val="ListParagraph"/>
              <w:numPr>
                <w:ilvl w:val="0"/>
                <w:numId w:val="2"/>
              </w:numPr>
            </w:pPr>
            <w:r>
              <w:rPr>
                <w:rStyle w:val="row-content-rich-text"/>
              </w:rPr>
              <w:t xml:space="preserve">inspect the feet (whole foot, nails, between the toes) to identify active foot problems and the 'high-risk foot'; </w:t>
            </w:r>
          </w:p>
          <w:p>
            <w:pPr>
              <w:pStyle w:val="ListParagraph"/>
              <w:numPr>
                <w:ilvl w:val="0"/>
                <w:numId w:val="2"/>
              </w:numPr>
            </w:pPr>
            <w:r>
              <w:rPr>
                <w:rStyle w:val="row-content-rich-text"/>
              </w:rPr>
              <w:t xml:space="preserve">assess footwear; </w:t>
            </w:r>
          </w:p>
          <w:p>
            <w:pPr>
              <w:pStyle w:val="ListParagraph"/>
              <w:numPr>
                <w:ilvl w:val="0"/>
                <w:numId w:val="2"/>
              </w:numPr>
            </w:pPr>
            <w:r>
              <w:rPr>
                <w:rStyle w:val="row-content-rich-text"/>
              </w:rPr>
              <w:t xml:space="preserve">check peripheral pulses; </w:t>
            </w:r>
          </w:p>
          <w:p>
            <w:pPr>
              <w:pStyle w:val="ListParagraph"/>
              <w:numPr>
                <w:ilvl w:val="0"/>
                <w:numId w:val="2"/>
              </w:numPr>
            </w:pPr>
            <w:r>
              <w:rPr>
                <w:rStyle w:val="row-content-rich-text"/>
              </w:rPr>
              <w:t xml:space="preserve">examine for neuropathy by testing reflexes and sensation preferably using tuning fork, 10g monofilament and/or biothesiometer. </w:t>
            </w:r>
          </w:p>
          <w:p>
            <w:pPr>
              <w:pStyle w:val="ListParagraph"/>
              <w:numPr>
                <w:ilvl w:val="0"/>
                <w:numId w:val="2"/>
              </w:numPr>
            </w:pPr>
            <w:r>
              <w:rPr>
                <w:rStyle w:val="row-content-rich-text"/>
              </w:rPr>
              <w:t xml:space="preserve">ask the patient about current foot problems, neuropathic symptoms, rest pain and intermittent claudication.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d53e7c69a4457b">
              <w:r>
                <w:rPr>
                  <w:rStyle w:val="Hyperlink"/>
                </w:rPr>
                <w:t xml:space="preserve">Person—foot lesion indicator (active), code N</w:t>
              </w:r>
            </w:hyperlink>
          </w:p>
          <w:p>
            <w:pPr>
              <w:spacing w:before="0" w:after="0"/>
            </w:pPr>
            <w:r>
              <w:rPr>
                <w:rStyle w:val="row-content"/>
                <w:color w:val="244061"/>
              </w:rPr>
              <w:t xml:space="preserve">       </w:t>
            </w:r>
            <w:hyperlink w:history="true" r:id="R76e4322690b84a28">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477434b7c2bb46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7434b7c2bb46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3a63a2ad9fb483c"/>
                            <a:srcRect/>
                            <a:stretch>
                              <a:fillRect/>
                            </a:stretch>
                          </pic:blipFill>
                          <pic:spPr bwMode="auto">
                            <a:xfrm>
                              <a:off x="0" y="0"/>
                              <a:ext cx="152400" cy="152400"/>
                            </a:xfrm>
                            <a:prstGeom prst="rect">
                              <a:avLst/>
                            </a:prstGeom>
                          </pic:spPr>
                        </pic:pic>
                      </a:graphicData>
                    </a:graphic>
                  </wp:inline>
                </w:drawing>
              </w:r>
              <w:r>
                <w:rPr>
                  <w:rStyle w:val="Hyperlink"/>
                </w:rPr>
                <w:t xml:space="preserve"> Foot lesion - active,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707609ff9c4797">
              <w:r>
                <w:rPr>
                  <w:rStyle w:val="Hyperlink"/>
                </w:rPr>
                <w:t xml:space="preserve">Diabetes (clinical) DSS</w:t>
              </w:r>
            </w:hyperlink>
          </w:p>
          <w:p>
            <w:pPr>
              <w:spacing w:before="0" w:after="0"/>
            </w:pPr>
            <w:r>
              <w:rPr>
                <w:rStyle w:val="row-content"/>
                <w:color w:val="244061"/>
              </w:rPr>
              <w:t xml:space="preserve">       </w:t>
            </w:r>
            <w:hyperlink w:history="true" r:id="R9d7d49b464774d9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r>
              <w:rPr>
                <w:rStyle w:val="row-content"/>
              </w:rPr>
              <w:t xml:space="preserve">Early detection and appropriate management of the 'high risk foot' and active foot problems can reduce morbidity, hospitalisation and amputation in people with diabetes.</w:t>
            </w:r>
            <w:r>
              <w:br/>
            </w:r>
            <w:r>
              <w:br/>
            </w:r>
          </w:p>
        </w:tc>
      </w:tr>
    </w:tbl>
    <w:p/>
    <w:tbl>
      <w:tblPr>
        <w:tblStyle w:val="TableGrid"/>
        <w:tblW w:w="0" w:type="auto"/>
      </w:tblPr>
    </w:tbl>
    <w:p>
      <w:r>
        <w:br/>
      </w:r>
    </w:p>
    <w:sectPr>
      <w:footerReference xmlns:r="http://schemas.openxmlformats.org/officeDocument/2006/relationships" w:type="default" r:id="Rcca8ee28c542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1c9f582f8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8ee28c54241e4" /><Relationship Type="http://schemas.openxmlformats.org/officeDocument/2006/relationships/header" Target="/word/header1.xml" Id="R9ae4416bfdfe4e64" /><Relationship Type="http://schemas.openxmlformats.org/officeDocument/2006/relationships/settings" Target="/word/settings.xml" Id="R5b5bc7317160454c" /><Relationship Type="http://schemas.openxmlformats.org/officeDocument/2006/relationships/styles" Target="/word/styles.xml" Id="Rfaffab0e2d164567" /><Relationship Type="http://schemas.openxmlformats.org/officeDocument/2006/relationships/hyperlink" Target="https://meteor.aihw.gov.au/RegistrationAuthority/12" TargetMode="External" Id="R0a78b0d0709a49e1" /><Relationship Type="http://schemas.openxmlformats.org/officeDocument/2006/relationships/hyperlink" Target="https://meteor.aihw.gov.au/content/269617" TargetMode="External" Id="R71d8288d32bd4c8e" /><Relationship Type="http://schemas.openxmlformats.org/officeDocument/2006/relationships/hyperlink" Target="https://meteor.aihw.gov.au/content/270735" TargetMode="External" Id="R80955321ec4a4121" /><Relationship Type="http://schemas.openxmlformats.org/officeDocument/2006/relationships/numbering" Target="/word/numbering.xml" Id="R6fa6e5c669324305" /><Relationship Type="http://schemas.openxmlformats.org/officeDocument/2006/relationships/hyperlink" Target="https://meteor.aihw.gov.au/content/302437" TargetMode="External" Id="R22d53e7c69a4457b" /><Relationship Type="http://schemas.openxmlformats.org/officeDocument/2006/relationships/hyperlink" Target="https://meteor.aihw.gov.au/RegistrationAuthority/12" TargetMode="External" Id="R76e4322690b84a28" /><Relationship Type="http://schemas.openxmlformats.org/officeDocument/2006/relationships/hyperlink" Target="https://meteor.aihw.gov.au/content/273856" TargetMode="External" Id="R477434b7c2bb46bb" /><Relationship Type="http://schemas.openxmlformats.org/officeDocument/2006/relationships/image" Target="/media/image.gif" Id="Rf3a63a2ad9fb483c" /><Relationship Type="http://schemas.openxmlformats.org/officeDocument/2006/relationships/hyperlink" Target="https://meteor.aihw.gov.au/content/273054" TargetMode="External" Id="R2c707609ff9c4797" /><Relationship Type="http://schemas.openxmlformats.org/officeDocument/2006/relationships/hyperlink" Target="https://meteor.aihw.gov.au/RegistrationAuthority/12" TargetMode="External" Id="R9d7d49b464774d94" /></Relationships>
</file>

<file path=word/_rels/header1.xml.rels>&#65279;<?xml version="1.0" encoding="utf-8"?><Relationships xmlns="http://schemas.openxmlformats.org/package/2006/relationships"><Relationship Type="http://schemas.openxmlformats.org/officeDocument/2006/relationships/image" Target="/media/image.png" Id="R3c41c9f582f846cd" /></Relationships>
</file>